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1B7D1">
      <w:pPr>
        <w:spacing w:line="360" w:lineRule="auto"/>
        <w:jc w:val="center"/>
        <w:rPr>
          <w:rFonts w:hint="eastAsia" w:ascii="宋体" w:hAnsi="宋体" w:eastAsia="宋体" w:cs="宋体"/>
          <w:b/>
          <w:sz w:val="24"/>
        </w:rPr>
      </w:pPr>
    </w:p>
    <w:p w14:paraId="5A7B0444">
      <w:pPr>
        <w:pStyle w:val="27"/>
        <w:keepNext w:val="0"/>
        <w:keepLines w:val="0"/>
        <w:pageBreakBefore w:val="0"/>
        <w:widowControl w:val="0"/>
        <w:kinsoku/>
        <w:wordWrap/>
        <w:overflowPunct/>
        <w:topLinePunct w:val="0"/>
        <w:autoSpaceDE w:val="0"/>
        <w:autoSpaceDN w:val="0"/>
        <w:bidi w:val="0"/>
        <w:adjustRightInd w:val="0"/>
        <w:snapToGrid/>
        <w:spacing w:before="313" w:beforeLines="100"/>
        <w:jc w:val="center"/>
        <w:textAlignment w:val="auto"/>
        <w:rPr>
          <w:rFonts w:hint="eastAsia" w:ascii="宋体" w:hAnsi="宋体" w:eastAsia="宋体" w:cs="宋体"/>
          <w:sz w:val="52"/>
          <w:szCs w:val="52"/>
          <w:lang w:eastAsia="zh-CN"/>
        </w:rPr>
      </w:pPr>
      <w:r>
        <w:rPr>
          <w:rFonts w:hint="eastAsia" w:ascii="宋体" w:hAnsi="宋体" w:eastAsia="宋体" w:cs="宋体"/>
          <w:sz w:val="52"/>
          <w:szCs w:val="52"/>
          <w:lang w:eastAsia="zh-CN"/>
        </w:rPr>
        <w:t>2024年桐庐县青少年宫消防维保单位采购项目</w:t>
      </w:r>
    </w:p>
    <w:p w14:paraId="7480B4C2">
      <w:pPr>
        <w:pStyle w:val="28"/>
        <w:rPr>
          <w:rFonts w:hint="eastAsia"/>
          <w:lang w:eastAsia="zh-CN"/>
        </w:rPr>
      </w:pPr>
    </w:p>
    <w:p w14:paraId="3ABC23C3">
      <w:pPr>
        <w:pStyle w:val="27"/>
        <w:jc w:val="center"/>
        <w:rPr>
          <w:rFonts w:hint="eastAsia" w:ascii="宋体" w:hAnsi="宋体" w:eastAsia="宋体" w:cs="宋体"/>
          <w:sz w:val="40"/>
          <w:szCs w:val="40"/>
          <w:lang w:eastAsia="zh-CN"/>
        </w:rPr>
      </w:pPr>
      <w:r>
        <w:rPr>
          <w:rFonts w:hint="eastAsia" w:ascii="宋体" w:hAnsi="宋体" w:eastAsia="宋体" w:cs="宋体"/>
          <w:sz w:val="40"/>
          <w:szCs w:val="40"/>
          <w:lang w:eastAsia="zh-CN"/>
        </w:rPr>
        <w:t>询价文件</w:t>
      </w:r>
    </w:p>
    <w:p w14:paraId="6738437F">
      <w:pPr>
        <w:pStyle w:val="85"/>
        <w:jc w:val="center"/>
        <w:rPr>
          <w:rFonts w:hint="eastAsia" w:ascii="宋体" w:hAnsi="宋体" w:eastAsia="宋体" w:cs="宋体"/>
          <w:b/>
          <w:sz w:val="44"/>
          <w:szCs w:val="44"/>
          <w:highlight w:val="cyan"/>
        </w:rPr>
      </w:pPr>
    </w:p>
    <w:p w14:paraId="1A84B919">
      <w:pPr>
        <w:snapToGrid w:val="0"/>
        <w:spacing w:line="360" w:lineRule="auto"/>
        <w:jc w:val="center"/>
        <w:rPr>
          <w:rFonts w:hint="eastAsia" w:ascii="宋体" w:hAnsi="宋体" w:eastAsia="宋体" w:cs="宋体"/>
          <w:sz w:val="30"/>
          <w:szCs w:val="30"/>
          <w:highlight w:val="none"/>
          <w:lang w:val="en-US"/>
        </w:rPr>
      </w:pPr>
      <w:r>
        <w:rPr>
          <w:rFonts w:hint="eastAsia" w:ascii="宋体" w:hAnsi="宋体" w:eastAsia="宋体" w:cs="宋体"/>
          <w:sz w:val="30"/>
          <w:szCs w:val="30"/>
          <w:highlight w:val="none"/>
        </w:rPr>
        <w:t>编号</w:t>
      </w:r>
      <w:r>
        <w:rPr>
          <w:rFonts w:hint="eastAsia" w:ascii="宋体" w:hAnsi="宋体" w:cs="宋体"/>
          <w:sz w:val="30"/>
          <w:szCs w:val="30"/>
          <w:highlight w:val="none"/>
          <w:lang w:eastAsia="zh-CN"/>
        </w:rPr>
        <w:t>：</w:t>
      </w:r>
      <w:r>
        <w:rPr>
          <w:rFonts w:hint="eastAsia" w:ascii="宋体" w:hAnsi="宋体" w:cs="宋体"/>
          <w:sz w:val="30"/>
          <w:szCs w:val="30"/>
          <w:highlight w:val="none"/>
          <w:lang w:val="en-US" w:eastAsia="zh-CN"/>
        </w:rPr>
        <w:t>QZ23301222024025</w:t>
      </w:r>
    </w:p>
    <w:p w14:paraId="7FBABC4F">
      <w:pPr>
        <w:adjustRightInd/>
        <w:spacing w:line="360" w:lineRule="auto"/>
        <w:rPr>
          <w:rFonts w:hint="eastAsia" w:ascii="宋体" w:hAnsi="宋体" w:eastAsia="宋体" w:cs="宋体"/>
          <w:sz w:val="28"/>
          <w:szCs w:val="20"/>
        </w:rPr>
      </w:pPr>
    </w:p>
    <w:p w14:paraId="0A92BF5B">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20E046CA">
      <w:pPr>
        <w:pStyle w:val="83"/>
        <w:rPr>
          <w:rFonts w:hint="eastAsia" w:ascii="宋体" w:hAnsi="宋体" w:eastAsia="宋体" w:cs="宋体"/>
          <w:b/>
          <w:sz w:val="44"/>
          <w:szCs w:val="44"/>
        </w:rPr>
      </w:pPr>
    </w:p>
    <w:p w14:paraId="3C54F06E">
      <w:pPr>
        <w:pStyle w:val="83"/>
        <w:rPr>
          <w:rFonts w:hint="eastAsia" w:ascii="宋体" w:hAnsi="宋体" w:eastAsia="宋体" w:cs="宋体"/>
          <w:b/>
          <w:sz w:val="44"/>
          <w:szCs w:val="44"/>
        </w:rPr>
      </w:pPr>
    </w:p>
    <w:p w14:paraId="62F6C400">
      <w:pPr>
        <w:pStyle w:val="83"/>
        <w:rPr>
          <w:rFonts w:hint="eastAsia" w:ascii="宋体" w:hAnsi="宋体" w:eastAsia="宋体" w:cs="宋体"/>
          <w:b/>
          <w:sz w:val="44"/>
          <w:szCs w:val="44"/>
        </w:rPr>
      </w:pPr>
    </w:p>
    <w:p w14:paraId="2C66D2F6">
      <w:pPr>
        <w:spacing w:line="360" w:lineRule="auto"/>
        <w:jc w:val="center"/>
        <w:rPr>
          <w:rFonts w:hint="eastAsia" w:ascii="宋体" w:hAnsi="宋体" w:eastAsia="宋体" w:cs="宋体"/>
          <w:b/>
          <w:sz w:val="44"/>
          <w:szCs w:val="44"/>
        </w:rPr>
      </w:pPr>
    </w:p>
    <w:p w14:paraId="15867999">
      <w:pPr>
        <w:pStyle w:val="4"/>
        <w:rPr>
          <w:rFonts w:hint="eastAsia"/>
        </w:rPr>
      </w:pPr>
    </w:p>
    <w:p w14:paraId="45691850">
      <w:pPr>
        <w:spacing w:line="360" w:lineRule="auto"/>
        <w:rPr>
          <w:rFonts w:hint="eastAsia" w:ascii="宋体" w:hAnsi="宋体" w:eastAsia="宋体" w:cs="宋体"/>
          <w:sz w:val="32"/>
          <w:szCs w:val="32"/>
        </w:rPr>
      </w:pPr>
    </w:p>
    <w:p w14:paraId="20642046">
      <w:pPr>
        <w:pStyle w:val="4"/>
        <w:rPr>
          <w:rFonts w:hint="eastAsia"/>
        </w:rPr>
      </w:pPr>
    </w:p>
    <w:p w14:paraId="7BDB2E48">
      <w:pPr>
        <w:pStyle w:val="81"/>
        <w:rPr>
          <w:rFonts w:hint="eastAsia"/>
        </w:rPr>
      </w:pPr>
    </w:p>
    <w:p w14:paraId="4431582E">
      <w:pPr>
        <w:snapToGrid w:val="0"/>
        <w:spacing w:line="480" w:lineRule="auto"/>
        <w:ind w:firstLine="640" w:firstLineChars="200"/>
        <w:jc w:val="both"/>
        <w:rPr>
          <w:rFonts w:hint="eastAsia" w:ascii="宋体" w:hAnsi="宋体" w:cs="宋体"/>
          <w:bCs/>
          <w:color w:val="auto"/>
          <w:sz w:val="32"/>
          <w:szCs w:val="32"/>
          <w:highlight w:val="none"/>
          <w:lang w:eastAsia="zh-CN"/>
        </w:rPr>
      </w:pPr>
      <w:r>
        <w:rPr>
          <w:rFonts w:hint="eastAsia" w:ascii="宋体" w:hAnsi="宋体" w:eastAsia="宋体" w:cs="宋体"/>
          <w:color w:val="auto"/>
          <w:sz w:val="32"/>
          <w:szCs w:val="32"/>
          <w:highlight w:val="none"/>
        </w:rPr>
        <w:t>采</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购</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人</w:t>
      </w:r>
      <w:r>
        <w:rPr>
          <w:rFonts w:hint="eastAsia" w:ascii="宋体" w:hAnsi="宋体" w:eastAsia="宋体" w:cs="宋体"/>
          <w:color w:val="auto"/>
          <w:sz w:val="32"/>
          <w:szCs w:val="32"/>
          <w:highlight w:val="none"/>
          <w:lang w:eastAsia="zh-CN"/>
        </w:rPr>
        <w:t>（盖</w:t>
      </w:r>
      <w:r>
        <w:rPr>
          <w:rFonts w:hint="eastAsia" w:ascii="宋体" w:hAnsi="宋体" w:eastAsia="宋体" w:cs="宋体"/>
          <w:bCs/>
          <w:color w:val="auto"/>
          <w:sz w:val="32"/>
          <w:szCs w:val="32"/>
          <w:highlight w:val="none"/>
          <w:lang w:eastAsia="zh-CN"/>
        </w:rPr>
        <w:t>公章）</w:t>
      </w:r>
      <w:r>
        <w:rPr>
          <w:rFonts w:hint="eastAsia" w:ascii="宋体" w:hAnsi="宋体" w:eastAsia="宋体" w:cs="宋体"/>
          <w:bCs/>
          <w:color w:val="auto"/>
          <w:sz w:val="32"/>
          <w:szCs w:val="32"/>
          <w:highlight w:val="none"/>
        </w:rPr>
        <w:t>：</w:t>
      </w:r>
      <w:r>
        <w:rPr>
          <w:rFonts w:hint="eastAsia" w:ascii="宋体" w:hAnsi="宋体" w:cs="宋体"/>
          <w:bCs/>
          <w:color w:val="auto"/>
          <w:sz w:val="32"/>
          <w:szCs w:val="32"/>
          <w:highlight w:val="none"/>
          <w:lang w:eastAsia="zh-CN"/>
        </w:rPr>
        <w:t>桐庐县青少年宫</w:t>
      </w:r>
    </w:p>
    <w:p w14:paraId="2E7B9E01">
      <w:pPr>
        <w:snapToGrid w:val="0"/>
        <w:spacing w:line="480" w:lineRule="auto"/>
        <w:ind w:firstLine="640" w:firstLineChars="200"/>
        <w:jc w:val="both"/>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w:t>
      </w:r>
      <w:r>
        <w:rPr>
          <w:rFonts w:hint="eastAsia" w:ascii="宋体" w:hAnsi="宋体" w:eastAsia="宋体" w:cs="宋体"/>
          <w:color w:val="auto"/>
          <w:sz w:val="32"/>
          <w:szCs w:val="32"/>
          <w:highlight w:val="none"/>
          <w:lang w:eastAsia="zh-CN"/>
        </w:rPr>
        <w:t>（盖公章）</w:t>
      </w:r>
      <w:r>
        <w:rPr>
          <w:rFonts w:hint="eastAsia" w:ascii="宋体" w:hAnsi="宋体" w:eastAsia="宋体" w:cs="宋体"/>
          <w:bCs/>
          <w:color w:val="auto"/>
          <w:sz w:val="32"/>
          <w:szCs w:val="32"/>
          <w:highlight w:val="none"/>
        </w:rPr>
        <w:t>：杭州全咨项目管理有限公司</w:t>
      </w:r>
    </w:p>
    <w:p w14:paraId="066E0B65">
      <w:pPr>
        <w:snapToGrid w:val="0"/>
        <w:spacing w:line="48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p>
    <w:p w14:paraId="3349FC0C">
      <w:pPr>
        <w:pStyle w:val="4"/>
        <w:rPr>
          <w:rFonts w:hint="eastAsia"/>
        </w:rPr>
      </w:pPr>
    </w:p>
    <w:p w14:paraId="59287673">
      <w:pPr>
        <w:spacing w:line="360" w:lineRule="auto"/>
        <w:jc w:val="center"/>
        <w:rPr>
          <w:rFonts w:hint="eastAsia" w:ascii="宋体" w:hAnsi="宋体" w:eastAsia="宋体" w:cs="宋体"/>
          <w:b/>
          <w:bCs/>
          <w:sz w:val="48"/>
          <w:szCs w:val="48"/>
        </w:rPr>
      </w:pPr>
      <w:r>
        <w:rPr>
          <w:rFonts w:hint="eastAsia" w:ascii="宋体" w:hAnsi="宋体" w:eastAsia="宋体" w:cs="宋体"/>
          <w:b/>
          <w:bCs/>
          <w:sz w:val="48"/>
          <w:szCs w:val="48"/>
        </w:rPr>
        <w:t>温馨提醒</w:t>
      </w:r>
    </w:p>
    <w:p w14:paraId="1F04FCD0">
      <w:pPr>
        <w:spacing w:line="360" w:lineRule="auto"/>
        <w:ind w:firstLine="1280" w:firstLineChars="400"/>
        <w:rPr>
          <w:rFonts w:hint="eastAsia" w:ascii="宋体" w:hAnsi="宋体" w:eastAsia="宋体" w:cs="宋体"/>
          <w:sz w:val="32"/>
          <w:szCs w:val="32"/>
        </w:rPr>
      </w:pPr>
    </w:p>
    <w:p w14:paraId="6471CE25">
      <w:pPr>
        <w:numPr>
          <w:ilvl w:val="0"/>
          <w:numId w:val="0"/>
        </w:numPr>
        <w:spacing w:line="360" w:lineRule="auto"/>
        <w:rPr>
          <w:rFonts w:hint="eastAsia" w:ascii="宋体" w:hAnsi="宋体" w:eastAsia="宋体" w:cs="宋体"/>
          <w:sz w:val="32"/>
          <w:szCs w:val="32"/>
        </w:rPr>
      </w:pPr>
      <w:r>
        <w:rPr>
          <w:rFonts w:hint="eastAsia" w:ascii="宋体" w:hAnsi="宋体" w:cs="宋体"/>
          <w:sz w:val="32"/>
          <w:szCs w:val="32"/>
          <w:lang w:val="en-US" w:eastAsia="zh-CN"/>
        </w:rPr>
        <w:t>1.</w:t>
      </w:r>
      <w:r>
        <w:rPr>
          <w:rFonts w:hint="eastAsia" w:ascii="宋体" w:hAnsi="宋体" w:eastAsia="宋体" w:cs="宋体"/>
          <w:sz w:val="32"/>
          <w:szCs w:val="32"/>
        </w:rPr>
        <w:t>投标文件应按招标文件要求将“资格文件</w:t>
      </w:r>
      <w:r>
        <w:rPr>
          <w:rFonts w:hint="eastAsia" w:ascii="宋体" w:hAnsi="宋体" w:eastAsia="宋体" w:cs="宋体"/>
          <w:sz w:val="32"/>
          <w:szCs w:val="32"/>
          <w:lang w:eastAsia="zh-CN"/>
        </w:rPr>
        <w:t>（一正两副）</w:t>
      </w:r>
      <w:r>
        <w:rPr>
          <w:rFonts w:hint="eastAsia" w:ascii="宋体" w:hAnsi="宋体" w:eastAsia="宋体" w:cs="宋体"/>
          <w:sz w:val="32"/>
          <w:szCs w:val="32"/>
        </w:rPr>
        <w:t>”</w:t>
      </w:r>
      <w:r>
        <w:rPr>
          <w:rFonts w:hint="eastAsia" w:ascii="宋体" w:hAnsi="宋体" w:cs="宋体"/>
          <w:sz w:val="32"/>
          <w:szCs w:val="32"/>
          <w:lang w:eastAsia="zh-CN"/>
        </w:rPr>
        <w:t>和</w:t>
      </w:r>
      <w:r>
        <w:rPr>
          <w:rFonts w:hint="eastAsia" w:ascii="宋体" w:hAnsi="宋体" w:eastAsia="宋体" w:cs="宋体"/>
          <w:sz w:val="32"/>
          <w:szCs w:val="32"/>
        </w:rPr>
        <w:t>“报价文件</w:t>
      </w:r>
      <w:r>
        <w:rPr>
          <w:rFonts w:hint="eastAsia" w:ascii="宋体" w:hAnsi="宋体" w:eastAsia="宋体" w:cs="宋体"/>
          <w:sz w:val="32"/>
          <w:szCs w:val="32"/>
          <w:lang w:eastAsia="zh-CN"/>
        </w:rPr>
        <w:t>（一正两副）</w:t>
      </w:r>
      <w:r>
        <w:rPr>
          <w:rFonts w:hint="eastAsia" w:ascii="宋体" w:hAnsi="宋体" w:eastAsia="宋体" w:cs="宋体"/>
          <w:sz w:val="32"/>
          <w:szCs w:val="32"/>
        </w:rPr>
        <w:t>”分别编制、装订成册、包封。</w:t>
      </w:r>
    </w:p>
    <w:p w14:paraId="6A2069E9">
      <w:pPr>
        <w:pStyle w:val="38"/>
        <w:rPr>
          <w:rFonts w:hint="eastAsia" w:ascii="宋体" w:hAnsi="宋体" w:eastAsia="宋体" w:cs="宋体"/>
        </w:rPr>
      </w:pPr>
    </w:p>
    <w:p w14:paraId="562E35AB">
      <w:pPr>
        <w:spacing w:line="360" w:lineRule="auto"/>
        <w:rPr>
          <w:rFonts w:hint="eastAsia" w:ascii="宋体" w:hAnsi="宋体" w:eastAsia="宋体" w:cs="宋体"/>
          <w:sz w:val="32"/>
          <w:szCs w:val="32"/>
        </w:rPr>
      </w:pPr>
      <w:r>
        <w:rPr>
          <w:rFonts w:hint="eastAsia" w:ascii="宋体" w:hAnsi="宋体" w:cs="宋体"/>
          <w:sz w:val="32"/>
          <w:szCs w:val="32"/>
          <w:lang w:val="en-US" w:eastAsia="zh-CN"/>
        </w:rPr>
        <w:t>2.</w:t>
      </w:r>
      <w:r>
        <w:rPr>
          <w:rFonts w:hint="eastAsia" w:ascii="宋体" w:hAnsi="宋体" w:eastAsia="宋体" w:cs="宋体"/>
          <w:sz w:val="32"/>
          <w:szCs w:val="32"/>
        </w:rPr>
        <w:t>资格文件中不得出现涉及投标价格的内容，否则作无效标处理。</w:t>
      </w:r>
    </w:p>
    <w:p w14:paraId="559B71C3">
      <w:pPr>
        <w:spacing w:line="360" w:lineRule="auto"/>
        <w:jc w:val="center"/>
        <w:rPr>
          <w:rFonts w:hint="eastAsia" w:ascii="宋体" w:hAnsi="宋体" w:eastAsia="宋体" w:cs="宋体"/>
          <w:b/>
          <w:sz w:val="48"/>
          <w:szCs w:val="48"/>
          <w:highlight w:val="none"/>
        </w:rPr>
      </w:pPr>
    </w:p>
    <w:p w14:paraId="5FF9B6FC">
      <w:pPr>
        <w:spacing w:line="360" w:lineRule="auto"/>
        <w:jc w:val="center"/>
        <w:rPr>
          <w:rFonts w:hint="eastAsia" w:ascii="宋体" w:hAnsi="宋体" w:eastAsia="宋体" w:cs="宋体"/>
          <w:b/>
          <w:sz w:val="48"/>
          <w:szCs w:val="48"/>
        </w:rPr>
      </w:pPr>
    </w:p>
    <w:p w14:paraId="2A32D3A7">
      <w:pPr>
        <w:pStyle w:val="4"/>
        <w:rPr>
          <w:rFonts w:hint="eastAsia" w:ascii="宋体" w:hAnsi="宋体" w:eastAsia="宋体" w:cs="宋体"/>
          <w:b/>
          <w:sz w:val="48"/>
          <w:szCs w:val="48"/>
        </w:rPr>
      </w:pPr>
    </w:p>
    <w:p w14:paraId="7B3D7FA9">
      <w:pPr>
        <w:rPr>
          <w:rFonts w:hint="eastAsia" w:ascii="宋体" w:hAnsi="宋体" w:eastAsia="宋体" w:cs="宋体"/>
          <w:b/>
          <w:sz w:val="48"/>
          <w:szCs w:val="48"/>
        </w:rPr>
      </w:pPr>
    </w:p>
    <w:p w14:paraId="07BCD0A6">
      <w:pPr>
        <w:pStyle w:val="4"/>
        <w:rPr>
          <w:rFonts w:hint="eastAsia" w:ascii="宋体" w:hAnsi="宋体" w:eastAsia="宋体" w:cs="宋体"/>
          <w:b/>
          <w:sz w:val="48"/>
          <w:szCs w:val="48"/>
        </w:rPr>
      </w:pPr>
    </w:p>
    <w:p w14:paraId="20DC93A0">
      <w:pPr>
        <w:rPr>
          <w:rFonts w:hint="eastAsia" w:ascii="宋体" w:hAnsi="宋体" w:eastAsia="宋体" w:cs="宋体"/>
          <w:b/>
          <w:sz w:val="48"/>
          <w:szCs w:val="48"/>
        </w:rPr>
      </w:pPr>
    </w:p>
    <w:p w14:paraId="30B30113">
      <w:pPr>
        <w:pStyle w:val="4"/>
        <w:rPr>
          <w:rFonts w:hint="eastAsia" w:ascii="宋体" w:hAnsi="宋体" w:eastAsia="宋体" w:cs="宋体"/>
          <w:b/>
          <w:sz w:val="48"/>
          <w:szCs w:val="48"/>
        </w:rPr>
      </w:pPr>
    </w:p>
    <w:p w14:paraId="07B0ECE2">
      <w:pPr>
        <w:rPr>
          <w:rFonts w:hint="eastAsia" w:ascii="宋体" w:hAnsi="宋体" w:eastAsia="宋体" w:cs="宋体"/>
          <w:b/>
          <w:sz w:val="48"/>
          <w:szCs w:val="48"/>
        </w:rPr>
      </w:pPr>
    </w:p>
    <w:p w14:paraId="66A5C5E1">
      <w:pPr>
        <w:pStyle w:val="4"/>
        <w:rPr>
          <w:rFonts w:hint="eastAsia" w:ascii="宋体" w:hAnsi="宋体" w:eastAsia="宋体" w:cs="宋体"/>
          <w:b/>
          <w:sz w:val="48"/>
          <w:szCs w:val="48"/>
        </w:rPr>
      </w:pPr>
    </w:p>
    <w:p w14:paraId="1D6B9F6B">
      <w:pPr>
        <w:rPr>
          <w:rFonts w:hint="eastAsia" w:ascii="宋体" w:hAnsi="宋体" w:eastAsia="宋体" w:cs="宋体"/>
          <w:b/>
          <w:sz w:val="48"/>
          <w:szCs w:val="48"/>
        </w:rPr>
      </w:pPr>
    </w:p>
    <w:p w14:paraId="30EB0F10">
      <w:pPr>
        <w:pStyle w:val="4"/>
        <w:rPr>
          <w:rFonts w:hint="eastAsia" w:ascii="宋体" w:hAnsi="宋体" w:eastAsia="宋体" w:cs="宋体"/>
          <w:b/>
          <w:sz w:val="48"/>
          <w:szCs w:val="48"/>
        </w:rPr>
      </w:pPr>
    </w:p>
    <w:p w14:paraId="312276A2">
      <w:pPr>
        <w:rPr>
          <w:rFonts w:hint="eastAsia"/>
        </w:rPr>
      </w:pPr>
    </w:p>
    <w:p w14:paraId="44BA2208">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56072B7D">
      <w:pPr>
        <w:spacing w:line="360" w:lineRule="auto"/>
        <w:rPr>
          <w:rFonts w:hint="eastAsia" w:ascii="宋体" w:hAnsi="宋体" w:eastAsia="宋体" w:cs="宋体"/>
          <w:sz w:val="32"/>
          <w:szCs w:val="32"/>
        </w:rPr>
      </w:pPr>
    </w:p>
    <w:p w14:paraId="7E1E8730">
      <w:pPr>
        <w:spacing w:line="360" w:lineRule="auto"/>
        <w:rPr>
          <w:rFonts w:hint="eastAsia" w:ascii="宋体" w:hAnsi="宋体" w:eastAsia="宋体" w:cs="宋体"/>
          <w:sz w:val="32"/>
          <w:szCs w:val="32"/>
        </w:rPr>
      </w:pPr>
    </w:p>
    <w:p w14:paraId="37BF1112">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094739A0">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 xml:space="preserve">第二部分      </w:t>
      </w:r>
      <w:r>
        <w:rPr>
          <w:rFonts w:hint="eastAsia" w:ascii="宋体" w:hAnsi="宋体" w:cs="宋体"/>
          <w:sz w:val="32"/>
          <w:szCs w:val="32"/>
          <w:lang w:eastAsia="zh-CN"/>
        </w:rPr>
        <w:t>投标单位</w:t>
      </w:r>
      <w:r>
        <w:rPr>
          <w:rFonts w:hint="eastAsia" w:ascii="宋体" w:hAnsi="宋体" w:eastAsia="宋体" w:cs="宋体"/>
          <w:sz w:val="32"/>
          <w:szCs w:val="32"/>
        </w:rPr>
        <w:t>须知</w:t>
      </w:r>
    </w:p>
    <w:p w14:paraId="563065F2">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2B32CEF0">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5E388E9C">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173D35EF">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79D5FFBE">
      <w:pPr>
        <w:spacing w:line="360" w:lineRule="auto"/>
        <w:ind w:firstLine="549" w:firstLineChars="229"/>
        <w:rPr>
          <w:rFonts w:hint="eastAsia" w:ascii="宋体" w:hAnsi="宋体" w:eastAsia="宋体" w:cs="宋体"/>
          <w:sz w:val="24"/>
        </w:rPr>
      </w:pPr>
      <w:bookmarkStart w:id="0" w:name="_Hlt91233176"/>
      <w:bookmarkEnd w:id="0"/>
      <w:bookmarkStart w:id="1" w:name="_Toc91899869"/>
    </w:p>
    <w:p w14:paraId="46BAC0E6">
      <w:pPr>
        <w:spacing w:line="360" w:lineRule="auto"/>
        <w:ind w:firstLine="549" w:firstLineChars="229"/>
        <w:rPr>
          <w:rFonts w:hint="eastAsia" w:ascii="宋体" w:hAnsi="宋体" w:eastAsia="宋体" w:cs="宋体"/>
          <w:sz w:val="24"/>
        </w:rPr>
      </w:pPr>
    </w:p>
    <w:p w14:paraId="62DFCFA4">
      <w:pPr>
        <w:spacing w:line="360" w:lineRule="auto"/>
        <w:ind w:firstLine="549" w:firstLineChars="229"/>
        <w:rPr>
          <w:rFonts w:hint="eastAsia" w:ascii="宋体" w:hAnsi="宋体" w:eastAsia="宋体" w:cs="宋体"/>
          <w:sz w:val="24"/>
        </w:rPr>
      </w:pPr>
    </w:p>
    <w:p w14:paraId="54840E5E">
      <w:pPr>
        <w:spacing w:line="360" w:lineRule="auto"/>
        <w:ind w:firstLine="549" w:firstLineChars="229"/>
        <w:rPr>
          <w:rFonts w:hint="eastAsia" w:ascii="宋体" w:hAnsi="宋体" w:eastAsia="宋体" w:cs="宋体"/>
          <w:sz w:val="24"/>
        </w:rPr>
      </w:pPr>
    </w:p>
    <w:p w14:paraId="38CACBFF">
      <w:pPr>
        <w:spacing w:line="360" w:lineRule="auto"/>
        <w:ind w:firstLine="549" w:firstLineChars="229"/>
        <w:rPr>
          <w:rFonts w:hint="eastAsia" w:ascii="宋体" w:hAnsi="宋体" w:eastAsia="宋体" w:cs="宋体"/>
          <w:sz w:val="24"/>
        </w:rPr>
      </w:pPr>
    </w:p>
    <w:p w14:paraId="239CFC5B">
      <w:pPr>
        <w:spacing w:line="360" w:lineRule="auto"/>
        <w:ind w:firstLine="549" w:firstLineChars="229"/>
        <w:rPr>
          <w:rFonts w:hint="eastAsia" w:ascii="宋体" w:hAnsi="宋体" w:eastAsia="宋体" w:cs="宋体"/>
          <w:sz w:val="24"/>
        </w:rPr>
      </w:pPr>
    </w:p>
    <w:p w14:paraId="2C8AFDC5">
      <w:pPr>
        <w:spacing w:line="360" w:lineRule="auto"/>
        <w:ind w:firstLine="549" w:firstLineChars="229"/>
        <w:rPr>
          <w:rFonts w:hint="eastAsia" w:ascii="宋体" w:hAnsi="宋体" w:eastAsia="宋体" w:cs="宋体"/>
          <w:sz w:val="24"/>
        </w:rPr>
      </w:pPr>
    </w:p>
    <w:p w14:paraId="60C72B96">
      <w:pPr>
        <w:spacing w:line="360" w:lineRule="auto"/>
        <w:ind w:firstLine="549" w:firstLineChars="229"/>
        <w:rPr>
          <w:rFonts w:hint="eastAsia" w:ascii="宋体" w:hAnsi="宋体" w:eastAsia="宋体" w:cs="宋体"/>
          <w:sz w:val="24"/>
        </w:rPr>
      </w:pPr>
    </w:p>
    <w:p w14:paraId="6844B064">
      <w:pPr>
        <w:spacing w:line="360" w:lineRule="auto"/>
        <w:ind w:firstLine="549" w:firstLineChars="229"/>
        <w:rPr>
          <w:rFonts w:hint="eastAsia" w:ascii="宋体" w:hAnsi="宋体" w:eastAsia="宋体" w:cs="宋体"/>
          <w:sz w:val="24"/>
        </w:rPr>
      </w:pPr>
    </w:p>
    <w:p w14:paraId="5DBEF59C">
      <w:pPr>
        <w:spacing w:line="360" w:lineRule="auto"/>
        <w:ind w:firstLine="549" w:firstLineChars="229"/>
        <w:rPr>
          <w:rFonts w:hint="eastAsia" w:ascii="宋体" w:hAnsi="宋体" w:eastAsia="宋体" w:cs="宋体"/>
          <w:sz w:val="24"/>
        </w:rPr>
      </w:pPr>
    </w:p>
    <w:p w14:paraId="51DDD92A">
      <w:pPr>
        <w:spacing w:line="360" w:lineRule="auto"/>
        <w:ind w:firstLine="549" w:firstLineChars="229"/>
        <w:rPr>
          <w:rFonts w:hint="eastAsia" w:ascii="宋体" w:hAnsi="宋体" w:eastAsia="宋体" w:cs="宋体"/>
          <w:sz w:val="24"/>
        </w:rPr>
      </w:pPr>
    </w:p>
    <w:p w14:paraId="38C45F3C">
      <w:pPr>
        <w:spacing w:line="360" w:lineRule="auto"/>
        <w:ind w:firstLine="549" w:firstLineChars="229"/>
        <w:rPr>
          <w:rFonts w:hint="eastAsia" w:ascii="宋体" w:hAnsi="宋体" w:eastAsia="宋体" w:cs="宋体"/>
          <w:sz w:val="24"/>
        </w:rPr>
      </w:pPr>
    </w:p>
    <w:p w14:paraId="10056A84">
      <w:pPr>
        <w:pStyle w:val="38"/>
        <w:rPr>
          <w:rFonts w:hint="eastAsia" w:ascii="宋体" w:hAnsi="宋体" w:eastAsia="宋体" w:cs="宋体"/>
          <w:sz w:val="24"/>
        </w:rPr>
      </w:pPr>
    </w:p>
    <w:p w14:paraId="1BF92A86">
      <w:pPr>
        <w:rPr>
          <w:rFonts w:hint="eastAsia"/>
        </w:rPr>
      </w:pPr>
    </w:p>
    <w:p w14:paraId="54CF2367">
      <w:pPr>
        <w:spacing w:line="360" w:lineRule="auto"/>
        <w:ind w:firstLine="549" w:firstLineChars="229"/>
        <w:rPr>
          <w:rFonts w:hint="eastAsia" w:ascii="宋体" w:hAnsi="宋体" w:eastAsia="宋体" w:cs="宋体"/>
          <w:sz w:val="24"/>
        </w:rPr>
      </w:pPr>
    </w:p>
    <w:bookmarkEnd w:id="1"/>
    <w:p w14:paraId="0E3F1A40">
      <w:pPr>
        <w:adjustRightInd/>
        <w:spacing w:line="360" w:lineRule="auto"/>
        <w:jc w:val="center"/>
        <w:outlineLvl w:val="0"/>
        <w:rPr>
          <w:rFonts w:hint="eastAsia" w:ascii="宋体" w:hAnsi="宋体" w:eastAsia="宋体" w:cs="宋体"/>
          <w:b/>
          <w:sz w:val="36"/>
          <w:szCs w:val="20"/>
        </w:rPr>
        <w:sectPr>
          <w:headerReference r:id="rId3" w:type="default"/>
          <w:pgSz w:w="11906" w:h="16838"/>
          <w:pgMar w:top="1417" w:right="1587" w:bottom="1434" w:left="1587" w:header="851" w:footer="992" w:gutter="0"/>
          <w:pgNumType w:start="1"/>
          <w:cols w:space="720" w:num="1"/>
          <w:docGrid w:linePitch="312" w:charSpace="0"/>
        </w:sectPr>
      </w:pPr>
      <w:bookmarkStart w:id="2" w:name="第二部分"/>
      <w:bookmarkStart w:id="3" w:name="_Toc91899870"/>
      <w:bookmarkStart w:id="4" w:name="_Toc91899871"/>
    </w:p>
    <w:p w14:paraId="034CEE6E">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第一部分 招标公告</w:t>
      </w:r>
    </w:p>
    <w:p w14:paraId="5028CFF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0739789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sz w:val="24"/>
        </w:rPr>
      </w:pPr>
      <w:r>
        <w:rPr>
          <w:rFonts w:hint="eastAsia" w:ascii="宋体" w:hAnsi="宋体" w:cs="宋体"/>
          <w:color w:val="auto"/>
          <w:sz w:val="24"/>
          <w:u w:val="single"/>
          <w:lang w:eastAsia="zh-CN"/>
        </w:rPr>
        <w:t>2024年桐庐县青少年宫消防维保单位采购项目</w:t>
      </w:r>
      <w:r>
        <w:rPr>
          <w:rFonts w:hint="eastAsia" w:ascii="宋体" w:hAnsi="宋体" w:eastAsia="宋体" w:cs="宋体"/>
          <w:color w:val="auto"/>
          <w:sz w:val="24"/>
        </w:rPr>
        <w:t>的潜在</w:t>
      </w:r>
      <w:r>
        <w:rPr>
          <w:rFonts w:hint="eastAsia" w:ascii="宋体" w:hAnsi="宋体" w:cs="宋体"/>
          <w:color w:val="000000"/>
          <w:sz w:val="24"/>
          <w:lang w:eastAsia="zh-CN"/>
        </w:rPr>
        <w:t>投标单位</w:t>
      </w:r>
      <w:r>
        <w:rPr>
          <w:rFonts w:hint="eastAsia" w:ascii="宋体" w:hAnsi="宋体" w:eastAsia="宋体" w:cs="宋体"/>
          <w:color w:val="000000"/>
          <w:sz w:val="24"/>
        </w:rPr>
        <w:t>应在</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"https://www.zcygov.cn/）获取（下载）招标文件，并于2021年" </w:instrText>
      </w:r>
      <w:r>
        <w:rPr>
          <w:rFonts w:hint="eastAsia" w:ascii="宋体" w:hAnsi="宋体" w:eastAsia="宋体" w:cs="宋体"/>
          <w:highlight w:val="none"/>
        </w:rPr>
        <w:fldChar w:fldCharType="separate"/>
      </w:r>
      <w:r>
        <w:rPr>
          <w:rFonts w:hint="eastAsia" w:ascii="宋体" w:hAnsi="宋体" w:cs="宋体"/>
          <w:color w:val="auto"/>
          <w:sz w:val="24"/>
          <w:highlight w:val="none"/>
          <w:lang w:eastAsia="zh-CN"/>
        </w:rPr>
        <w:t>桐庐县青少年宫官</w:t>
      </w:r>
      <w:r>
        <w:rPr>
          <w:rFonts w:hint="eastAsia" w:ascii="宋体" w:hAnsi="宋体" w:eastAsia="宋体" w:cs="宋体"/>
          <w:color w:val="auto"/>
          <w:sz w:val="24"/>
          <w:highlight w:val="none"/>
        </w:rPr>
        <w:t>网（https://tl.qsng.cn/index.htm）获取（下载）招标文件，</w:t>
      </w:r>
      <w:r>
        <w:rPr>
          <w:rFonts w:hint="eastAsia" w:ascii="宋体" w:hAnsi="宋体" w:eastAsia="宋体" w:cs="宋体"/>
          <w:color w:val="000000"/>
          <w:sz w:val="24"/>
          <w:highlight w:val="none"/>
        </w:rPr>
        <w:t>并于</w:t>
      </w:r>
      <w:r>
        <w:rPr>
          <w:rFonts w:hint="eastAsia" w:ascii="宋体" w:hAnsi="宋体" w:cs="宋体"/>
          <w:color w:val="FF0000"/>
          <w:sz w:val="24"/>
          <w:highlight w:val="yellow"/>
          <w:u w:val="single"/>
          <w:lang w:eastAsia="zh-CN"/>
        </w:rPr>
        <w:t>2024年7月18日</w:t>
      </w:r>
      <w:r>
        <w:rPr>
          <w:rFonts w:hint="eastAsia" w:ascii="宋体" w:hAnsi="宋体" w:cs="宋体"/>
          <w:color w:val="FF0000"/>
          <w:sz w:val="24"/>
          <w:highlight w:val="yellow"/>
          <w:u w:val="single"/>
          <w:lang w:val="en-US" w:eastAsia="zh-CN"/>
        </w:rPr>
        <w:t>09点</w:t>
      </w:r>
      <w:r>
        <w:rPr>
          <w:rFonts w:hint="eastAsia" w:ascii="宋体" w:hAnsi="宋体" w:cs="宋体"/>
          <w:color w:val="FF0000"/>
          <w:sz w:val="24"/>
          <w:highlight w:val="yellow"/>
          <w:u w:val="single"/>
          <w:lang w:eastAsia="zh-CN"/>
        </w:rPr>
        <w:t>00分00秒</w:t>
      </w:r>
      <w:r>
        <w:rPr>
          <w:rFonts w:hint="eastAsia" w:ascii="宋体" w:hAnsi="宋体" w:eastAsia="宋体" w:cs="宋体"/>
          <w:color w:val="FF0000"/>
          <w:sz w:val="24"/>
          <w:highlight w:val="none"/>
          <w:u w:val="single"/>
        </w:rPr>
        <w:fldChar w:fldCharType="end"/>
      </w:r>
      <w:r>
        <w:rPr>
          <w:rFonts w:hint="eastAsia" w:ascii="宋体" w:hAnsi="宋体" w:eastAsia="宋体" w:cs="宋体"/>
          <w:bCs/>
          <w:color w:val="000000"/>
          <w:sz w:val="24"/>
        </w:rPr>
        <w:t>（北京时间）前</w:t>
      </w:r>
      <w:r>
        <w:rPr>
          <w:rFonts w:hint="eastAsia" w:ascii="宋体" w:hAnsi="宋体" w:eastAsia="宋体" w:cs="宋体"/>
          <w:color w:val="000000"/>
          <w:sz w:val="24"/>
        </w:rPr>
        <w:t>将投标文件送至</w:t>
      </w:r>
      <w:r>
        <w:rPr>
          <w:rFonts w:hint="eastAsia" w:ascii="宋体" w:hAnsi="宋体" w:eastAsia="宋体" w:cs="宋体"/>
          <w:color w:val="000000"/>
          <w:sz w:val="24"/>
          <w:lang w:eastAsia="zh-CN"/>
        </w:rPr>
        <w:t>桐庐县青少年宫6号楼2楼会议室</w:t>
      </w:r>
      <w:r>
        <w:rPr>
          <w:rFonts w:hint="eastAsia" w:ascii="宋体" w:hAnsi="宋体" w:eastAsia="宋体" w:cs="宋体"/>
          <w:color w:val="000000"/>
          <w:sz w:val="24"/>
        </w:rPr>
        <w:t>，逾期送达作无效标处理。</w:t>
      </w:r>
    </w:p>
    <w:p w14:paraId="1058DE3A">
      <w:pPr>
        <w:keepNext w:val="0"/>
        <w:keepLines w:val="0"/>
        <w:pageBreakBefore w:val="0"/>
        <w:widowControl w:val="0"/>
        <w:kinsoku/>
        <w:wordWrap/>
        <w:overflowPunct/>
        <w:topLinePunct w:val="0"/>
        <w:autoSpaceDE/>
        <w:autoSpaceDN/>
        <w:bidi w:val="0"/>
        <w:adjustRightInd w:val="0"/>
        <w:snapToGrid/>
        <w:spacing w:before="313" w:beforeLines="100" w:line="360" w:lineRule="auto"/>
        <w:textAlignment w:val="auto"/>
        <w:rPr>
          <w:rFonts w:hint="eastAsia" w:ascii="宋体" w:hAnsi="宋体" w:eastAsia="宋体" w:cs="宋体"/>
          <w:b/>
          <w:sz w:val="24"/>
        </w:rPr>
      </w:pPr>
      <w:r>
        <w:rPr>
          <w:rFonts w:hint="eastAsia" w:ascii="宋体" w:hAnsi="宋体" w:eastAsia="宋体" w:cs="宋体"/>
          <w:b/>
          <w:sz w:val="24"/>
        </w:rPr>
        <w:t xml:space="preserve">一、项目基本情况                                            </w:t>
      </w:r>
    </w:p>
    <w:p w14:paraId="61038F75">
      <w:pPr>
        <w:spacing w:line="360" w:lineRule="auto"/>
        <w:ind w:firstLine="480"/>
        <w:rPr>
          <w:rFonts w:hint="eastAsia" w:ascii="宋体" w:hAnsi="宋体" w:eastAsia="宋体" w:cs="宋体"/>
          <w:color w:val="000000"/>
          <w:sz w:val="24"/>
          <w:lang w:val="en-US" w:eastAsia="zh-CN"/>
        </w:rPr>
      </w:pPr>
      <w:r>
        <w:rPr>
          <w:rFonts w:hint="eastAsia" w:ascii="宋体" w:hAnsi="宋体" w:eastAsia="宋体" w:cs="宋体"/>
          <w:b/>
          <w:sz w:val="24"/>
        </w:rPr>
        <w:t>项目编号：</w:t>
      </w:r>
      <w:r>
        <w:rPr>
          <w:rFonts w:hint="eastAsia" w:ascii="宋体" w:hAnsi="宋体" w:cs="宋体"/>
          <w:color w:val="000000"/>
          <w:sz w:val="24"/>
          <w:lang w:val="en-US" w:eastAsia="zh-CN"/>
        </w:rPr>
        <w:t>QZ23301222024025</w:t>
      </w:r>
    </w:p>
    <w:p w14:paraId="034445C3">
      <w:pPr>
        <w:spacing w:line="360" w:lineRule="auto"/>
        <w:ind w:firstLine="480"/>
        <w:rPr>
          <w:rFonts w:hint="eastAsia" w:ascii="宋体" w:hAnsi="宋体" w:eastAsia="宋体" w:cs="宋体"/>
          <w:color w:val="auto"/>
          <w:sz w:val="24"/>
          <w:lang w:eastAsia="zh-CN"/>
        </w:rPr>
      </w:pPr>
      <w:r>
        <w:rPr>
          <w:rFonts w:hint="eastAsia" w:ascii="宋体" w:hAnsi="宋体" w:eastAsia="宋体" w:cs="宋体"/>
          <w:b/>
          <w:color w:val="auto"/>
          <w:sz w:val="24"/>
        </w:rPr>
        <w:t>项目名称：</w:t>
      </w:r>
      <w:r>
        <w:rPr>
          <w:rFonts w:hint="eastAsia" w:ascii="宋体" w:hAnsi="宋体" w:cs="宋体"/>
          <w:color w:val="auto"/>
          <w:sz w:val="24"/>
          <w:lang w:eastAsia="zh-CN"/>
        </w:rPr>
        <w:t>2024年桐庐县青少年宫消防维保单位采购项目</w:t>
      </w:r>
    </w:p>
    <w:p w14:paraId="3510F860">
      <w:pPr>
        <w:spacing w:line="360" w:lineRule="auto"/>
        <w:ind w:firstLine="480"/>
        <w:rPr>
          <w:rFonts w:hint="default" w:ascii="宋体" w:hAnsi="宋体" w:eastAsia="宋体" w:cs="宋体"/>
          <w:b w:val="0"/>
          <w:bCs/>
          <w:sz w:val="24"/>
          <w:highlight w:val="none"/>
          <w:lang w:val="en-US" w:eastAsia="zh-CN"/>
        </w:rPr>
      </w:pPr>
      <w:r>
        <w:rPr>
          <w:rFonts w:hint="eastAsia" w:ascii="宋体" w:hAnsi="宋体" w:eastAsia="宋体" w:cs="宋体"/>
          <w:b/>
          <w:sz w:val="24"/>
          <w:highlight w:val="none"/>
        </w:rPr>
        <w:t>预算金额：</w:t>
      </w:r>
      <w:r>
        <w:rPr>
          <w:rFonts w:hint="eastAsia" w:ascii="宋体" w:hAnsi="宋体" w:cs="宋体"/>
          <w:b w:val="0"/>
          <w:bCs/>
          <w:sz w:val="24"/>
          <w:highlight w:val="none"/>
          <w:lang w:val="en-US" w:eastAsia="zh-CN"/>
        </w:rPr>
        <w:t>20000元/年</w:t>
      </w:r>
    </w:p>
    <w:p w14:paraId="0524FA29">
      <w:pPr>
        <w:spacing w:line="360" w:lineRule="auto"/>
        <w:ind w:firstLine="482" w:firstLineChars="200"/>
        <w:jc w:val="left"/>
        <w:rPr>
          <w:rFonts w:hint="default" w:ascii="宋体" w:hAnsi="宋体" w:eastAsia="宋体" w:cs="宋体"/>
          <w:b w:val="0"/>
          <w:bCs/>
          <w:color w:val="auto"/>
          <w:sz w:val="24"/>
          <w:lang w:val="en-US" w:eastAsia="zh-CN"/>
        </w:rPr>
      </w:pPr>
      <w:r>
        <w:rPr>
          <w:rFonts w:hint="eastAsia" w:ascii="宋体" w:hAnsi="宋体" w:eastAsia="宋体" w:cs="宋体"/>
          <w:b/>
          <w:color w:val="auto"/>
          <w:sz w:val="24"/>
        </w:rPr>
        <w:t>最高限价：</w:t>
      </w:r>
      <w:r>
        <w:rPr>
          <w:rFonts w:hint="eastAsia" w:ascii="宋体" w:hAnsi="宋体" w:eastAsia="宋体" w:cs="宋体"/>
          <w:b w:val="0"/>
          <w:bCs/>
          <w:color w:val="auto"/>
          <w:sz w:val="24"/>
          <w:lang w:val="en-US" w:eastAsia="zh-CN"/>
        </w:rPr>
        <w:t>20000元/年</w:t>
      </w:r>
    </w:p>
    <w:p w14:paraId="6CE90634">
      <w:pPr>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color w:val="auto"/>
          <w:sz w:val="24"/>
        </w:rPr>
        <w:t>采购需求：</w:t>
      </w:r>
      <w:r>
        <w:rPr>
          <w:rFonts w:hint="eastAsia" w:ascii="宋体" w:hAnsi="宋体" w:eastAsia="宋体" w:cs="宋体"/>
          <w:b w:val="0"/>
          <w:bCs/>
          <w:color w:val="auto"/>
          <w:sz w:val="24"/>
        </w:rPr>
        <w:t>详见采购文件第三部分</w:t>
      </w:r>
      <w:r>
        <w:rPr>
          <w:rFonts w:hint="eastAsia" w:ascii="宋体" w:hAnsi="宋体" w:eastAsia="宋体" w:cs="宋体"/>
          <w:b w:val="0"/>
          <w:bCs/>
          <w:color w:val="auto"/>
          <w:sz w:val="24"/>
          <w:lang w:val="en-US" w:eastAsia="zh-CN"/>
        </w:rPr>
        <w:t xml:space="preserve"> </w:t>
      </w:r>
      <w:r>
        <w:rPr>
          <w:rFonts w:hint="eastAsia" w:ascii="宋体" w:hAnsi="宋体" w:eastAsia="宋体" w:cs="宋体"/>
          <w:b w:val="0"/>
          <w:bCs/>
          <w:color w:val="auto"/>
          <w:sz w:val="24"/>
        </w:rPr>
        <w:t>采购需求</w:t>
      </w:r>
    </w:p>
    <w:p w14:paraId="06FE945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val="0"/>
          <w:bCs/>
          <w:highlight w:val="none"/>
          <w:lang w:val="en-US" w:eastAsia="zh-CN"/>
        </w:rPr>
      </w:pPr>
      <w:r>
        <w:rPr>
          <w:rFonts w:hint="eastAsia" w:ascii="宋体" w:hAnsi="宋体" w:eastAsia="宋体" w:cs="宋体"/>
          <w:b/>
          <w:color w:val="auto"/>
          <w:sz w:val="24"/>
          <w:highlight w:val="yellow"/>
          <w:lang w:val="zh-CN" w:eastAsia="zh-CN"/>
        </w:rPr>
        <w:t>服务期：</w:t>
      </w:r>
      <w:r>
        <w:rPr>
          <w:rFonts w:hint="eastAsia" w:ascii="宋体" w:hAnsi="宋体" w:cs="宋体"/>
          <w:b w:val="0"/>
          <w:bCs/>
          <w:color w:val="auto"/>
          <w:sz w:val="24"/>
          <w:highlight w:val="yellow"/>
          <w:lang w:val="en-US" w:eastAsia="zh-CN"/>
        </w:rPr>
        <w:t>一</w:t>
      </w:r>
      <w:r>
        <w:rPr>
          <w:rFonts w:hint="eastAsia" w:ascii="宋体" w:hAnsi="宋体" w:eastAsia="宋体" w:cs="宋体"/>
          <w:b w:val="0"/>
          <w:bCs/>
          <w:color w:val="auto"/>
          <w:sz w:val="24"/>
          <w:highlight w:val="yellow"/>
          <w:lang w:val="zh-CN" w:eastAsia="zh-CN"/>
        </w:rPr>
        <w:t>年，</w:t>
      </w:r>
      <w:r>
        <w:rPr>
          <w:rFonts w:hint="eastAsia" w:ascii="宋体" w:hAnsi="宋体" w:eastAsia="宋体" w:cs="宋体"/>
          <w:b w:val="0"/>
          <w:bCs/>
          <w:color w:val="auto"/>
          <w:sz w:val="24"/>
          <w:highlight w:val="none"/>
          <w:lang w:val="zh-CN" w:eastAsia="zh-CN"/>
        </w:rPr>
        <w:t>具体起止时间</w:t>
      </w:r>
      <w:r>
        <w:rPr>
          <w:rFonts w:hint="eastAsia" w:ascii="宋体" w:hAnsi="宋体" w:cs="宋体"/>
          <w:b w:val="0"/>
          <w:bCs/>
          <w:color w:val="auto"/>
          <w:sz w:val="24"/>
          <w:highlight w:val="none"/>
          <w:lang w:val="en-US" w:eastAsia="zh-CN"/>
        </w:rPr>
        <w:t>以合同签订为准</w:t>
      </w:r>
      <w:r>
        <w:rPr>
          <w:rFonts w:hint="eastAsia" w:ascii="宋体" w:hAnsi="宋体" w:cs="宋体"/>
          <w:b w:val="0"/>
          <w:bCs/>
          <w:color w:val="auto"/>
          <w:sz w:val="24"/>
          <w:highlight w:val="none"/>
          <w:lang w:val="zh-CN" w:eastAsia="zh-CN"/>
        </w:rPr>
        <w:t>。</w:t>
      </w:r>
    </w:p>
    <w:p w14:paraId="4E972A8E">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b/>
          <w:sz w:val="24"/>
        </w:rPr>
      </w:pPr>
      <w:r>
        <w:rPr>
          <w:rFonts w:hint="eastAsia" w:ascii="宋体" w:hAnsi="宋体" w:eastAsia="宋体" w:cs="宋体"/>
          <w:b/>
          <w:sz w:val="24"/>
        </w:rPr>
        <w:t>二、申请人的资格要求：</w:t>
      </w:r>
    </w:p>
    <w:p w14:paraId="15E66542">
      <w:pPr>
        <w:spacing w:line="360" w:lineRule="auto"/>
        <w:ind w:firstLine="48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1. 满足《中华人民共和国政府采购法》第二十二条规定；未被“信用中国”（www.creditchina.gov.cn</w:t>
      </w:r>
      <w:r>
        <w:rPr>
          <w:rFonts w:hint="eastAsia" w:ascii="宋体" w:hAnsi="宋体" w:cs="宋体"/>
          <w:snapToGrid w:val="0"/>
          <w:kern w:val="28"/>
          <w:sz w:val="24"/>
          <w:szCs w:val="20"/>
          <w:lang w:eastAsia="zh-CN"/>
        </w:rPr>
        <w:t>）</w:t>
      </w:r>
      <w:r>
        <w:rPr>
          <w:rFonts w:hint="eastAsia" w:ascii="宋体" w:hAnsi="宋体" w:eastAsia="宋体" w:cs="宋体"/>
          <w:snapToGrid w:val="0"/>
          <w:kern w:val="28"/>
          <w:sz w:val="24"/>
          <w:szCs w:val="20"/>
        </w:rPr>
        <w:t>、中国政府采购网（www.ccgp.gov.cn）列入失信被执行人、重大税收违法案件当事人名单、采购严重违法失信行为记录名单；</w:t>
      </w:r>
    </w:p>
    <w:p w14:paraId="2F3A0139">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lang w:val="en-US" w:eastAsia="zh-CN"/>
          <w14:textFill>
            <w14:solidFill>
              <w14:schemeClr w14:val="tx1"/>
            </w14:solidFill>
          </w14:textFill>
        </w:rPr>
        <w:t>2</w:t>
      </w:r>
      <w:r>
        <w:rPr>
          <w:rFonts w:hint="eastAsia" w:ascii="宋体" w:hAnsi="宋体" w:eastAsia="宋体" w:cs="宋体"/>
          <w:snapToGrid w:val="0"/>
          <w:color w:val="000000" w:themeColor="text1"/>
          <w:kern w:val="28"/>
          <w:sz w:val="24"/>
          <w:szCs w:val="20"/>
          <w14:textFill>
            <w14:solidFill>
              <w14:schemeClr w14:val="tx1"/>
            </w14:solidFill>
          </w14:textFill>
        </w:rPr>
        <w:t>.落实采购政策需满足的资格要求</w:t>
      </w:r>
      <w:r>
        <w:rPr>
          <w:rFonts w:hint="eastAsia" w:ascii="宋体" w:hAnsi="宋体" w:cs="宋体"/>
          <w:snapToGrid w:val="0"/>
          <w:color w:val="000000" w:themeColor="text1"/>
          <w:kern w:val="28"/>
          <w:sz w:val="24"/>
          <w:szCs w:val="20"/>
          <w:lang w:eastAsia="zh-CN"/>
          <w14:textFill>
            <w14:solidFill>
              <w14:schemeClr w14:val="tx1"/>
            </w14:solidFill>
          </w14:textFill>
        </w:rPr>
        <w:t>：</w:t>
      </w:r>
    </w:p>
    <w:p w14:paraId="19043714">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sym w:font="Wingdings" w:char="00A8"/>
      </w:r>
      <w:r>
        <w:rPr>
          <w:rFonts w:hint="eastAsia" w:ascii="宋体" w:hAnsi="宋体" w:eastAsia="宋体" w:cs="宋体"/>
          <w:snapToGrid w:val="0"/>
          <w:color w:val="000000" w:themeColor="text1"/>
          <w:kern w:val="28"/>
          <w:sz w:val="24"/>
          <w:szCs w:val="20"/>
          <w14:textFill>
            <w14:solidFill>
              <w14:schemeClr w14:val="tx1"/>
            </w14:solidFill>
          </w14:textFill>
        </w:rPr>
        <w:t>无；</w:t>
      </w:r>
    </w:p>
    <w:p w14:paraId="2C1CAB02">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sym w:font="Wingdings" w:char="00FE"/>
      </w:r>
      <w:r>
        <w:rPr>
          <w:rFonts w:hint="eastAsia" w:ascii="宋体" w:hAnsi="宋体" w:eastAsia="宋体" w:cs="宋体"/>
          <w:snapToGrid w:val="0"/>
          <w:color w:val="000000" w:themeColor="text1"/>
          <w:kern w:val="28"/>
          <w:sz w:val="24"/>
          <w:szCs w:val="20"/>
          <w14:textFill>
            <w14:solidFill>
              <w14:schemeClr w14:val="tx1"/>
            </w14:solidFill>
          </w14:textFill>
        </w:rPr>
        <w:t>专门面向中小企业</w:t>
      </w:r>
    </w:p>
    <w:p w14:paraId="07AFCD88">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sym w:font="Wingdings" w:char="00FE"/>
      </w:r>
      <w:r>
        <w:rPr>
          <w:rFonts w:hint="eastAsia" w:ascii="宋体" w:hAnsi="宋体" w:eastAsia="宋体" w:cs="宋体"/>
          <w:snapToGrid w:val="0"/>
          <w:color w:val="000000" w:themeColor="text1"/>
          <w:kern w:val="28"/>
          <w:sz w:val="24"/>
          <w:szCs w:val="20"/>
          <w14:textFill>
            <w14:solidFill>
              <w14:schemeClr w14:val="tx1"/>
            </w14:solidFill>
          </w14:textFill>
        </w:rPr>
        <w:t>服务全部由符合政策要求的中小企业承接，提供中小企业声明函；</w:t>
      </w:r>
    </w:p>
    <w:p w14:paraId="0CE52802">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sym w:font="Wingdings" w:char="00FE"/>
      </w:r>
      <w:r>
        <w:rPr>
          <w:rFonts w:hint="eastAsia" w:ascii="宋体" w:hAnsi="宋体" w:eastAsia="宋体" w:cs="宋体"/>
          <w:snapToGrid w:val="0"/>
          <w:color w:val="000000" w:themeColor="text1"/>
          <w:kern w:val="28"/>
          <w:sz w:val="24"/>
          <w:szCs w:val="20"/>
          <w14:textFill>
            <w14:solidFill>
              <w14:schemeClr w14:val="tx1"/>
            </w14:solidFill>
          </w14:textFill>
        </w:rPr>
        <w:t>服务全部由符合政策要求的小微企业承接，提供中小企业声明函；</w:t>
      </w:r>
    </w:p>
    <w:p w14:paraId="713EBBA6">
      <w:pPr>
        <w:spacing w:line="360" w:lineRule="auto"/>
        <w:ind w:firstLine="480"/>
        <w:rPr>
          <w:rFonts w:hint="eastAsia" w:ascii="宋体" w:hAnsi="宋体" w:eastAsia="宋体" w:cs="宋体"/>
          <w:snapToGrid w:val="0"/>
          <w:color w:val="000000" w:themeColor="text1"/>
          <w:kern w:val="28"/>
          <w:sz w:val="24"/>
          <w:szCs w:val="20"/>
          <w14:textFill>
            <w14:solidFill>
              <w14:schemeClr w14:val="tx1"/>
            </w14:solidFill>
          </w14:textFill>
        </w:rPr>
      </w:pPr>
      <w:r>
        <w:rPr>
          <w:rFonts w:hint="eastAsia" w:ascii="宋体" w:hAnsi="宋体" w:eastAsia="宋体" w:cs="宋体"/>
          <w:snapToGrid w:val="0"/>
          <w:color w:val="000000" w:themeColor="text1"/>
          <w:kern w:val="28"/>
          <w:sz w:val="24"/>
          <w:szCs w:val="20"/>
          <w14:textFill>
            <w14:solidFill>
              <w14:schemeClr w14:val="tx1"/>
            </w14:solidFill>
          </w14:textFill>
        </w:rPr>
        <w:sym w:font="Wingdings" w:char="00A8"/>
      </w:r>
      <w:r>
        <w:rPr>
          <w:rFonts w:hint="eastAsia" w:ascii="宋体" w:hAnsi="宋体" w:eastAsia="宋体" w:cs="宋体"/>
          <w:snapToGrid w:val="0"/>
          <w:color w:val="000000" w:themeColor="text1"/>
          <w:kern w:val="28"/>
          <w:sz w:val="24"/>
          <w:szCs w:val="20"/>
          <w:lang w:eastAsia="zh-CN"/>
          <w14:textFill>
            <w14:solidFill>
              <w14:schemeClr w14:val="tx1"/>
            </w14:solidFill>
          </w14:textFill>
        </w:rPr>
        <w:t>货物</w:t>
      </w:r>
      <w:r>
        <w:rPr>
          <w:rFonts w:hint="eastAsia" w:ascii="宋体" w:hAnsi="宋体" w:eastAsia="宋体" w:cs="宋体"/>
          <w:snapToGrid w:val="0"/>
          <w:color w:val="000000" w:themeColor="text1"/>
          <w:kern w:val="28"/>
          <w:sz w:val="24"/>
          <w:szCs w:val="20"/>
          <w14:textFill>
            <w14:solidFill>
              <w14:schemeClr w14:val="tx1"/>
            </w14:solidFill>
          </w14:textFill>
        </w:rPr>
        <w:t>全部由符合政策要求的中小企业承接，提供中小企业声明函；</w:t>
      </w:r>
    </w:p>
    <w:p w14:paraId="6C5D6ADD">
      <w:pPr>
        <w:spacing w:line="360" w:lineRule="auto"/>
        <w:ind w:firstLine="480"/>
        <w:rPr>
          <w:rFonts w:hint="eastAsia"/>
        </w:rPr>
      </w:pPr>
      <w:r>
        <w:rPr>
          <w:rFonts w:hint="eastAsia" w:ascii="宋体" w:hAnsi="宋体" w:eastAsia="宋体" w:cs="宋体"/>
          <w:snapToGrid w:val="0"/>
          <w:color w:val="000000" w:themeColor="text1"/>
          <w:kern w:val="28"/>
          <w:sz w:val="24"/>
          <w:szCs w:val="20"/>
          <w14:textFill>
            <w14:solidFill>
              <w14:schemeClr w14:val="tx1"/>
            </w14:solidFill>
          </w14:textFill>
        </w:rPr>
        <w:sym w:font="Wingdings" w:char="00A8"/>
      </w:r>
      <w:r>
        <w:rPr>
          <w:rFonts w:hint="eastAsia" w:ascii="宋体" w:hAnsi="宋体" w:eastAsia="宋体" w:cs="宋体"/>
          <w:snapToGrid w:val="0"/>
          <w:color w:val="000000" w:themeColor="text1"/>
          <w:kern w:val="28"/>
          <w:sz w:val="24"/>
          <w:szCs w:val="20"/>
          <w:lang w:eastAsia="zh-CN"/>
          <w14:textFill>
            <w14:solidFill>
              <w14:schemeClr w14:val="tx1"/>
            </w14:solidFill>
          </w14:textFill>
        </w:rPr>
        <w:t>货物</w:t>
      </w:r>
      <w:r>
        <w:rPr>
          <w:rFonts w:hint="eastAsia" w:ascii="宋体" w:hAnsi="宋体" w:eastAsia="宋体" w:cs="宋体"/>
          <w:snapToGrid w:val="0"/>
          <w:color w:val="000000" w:themeColor="text1"/>
          <w:kern w:val="28"/>
          <w:sz w:val="24"/>
          <w:szCs w:val="20"/>
          <w14:textFill>
            <w14:solidFill>
              <w14:schemeClr w14:val="tx1"/>
            </w14:solidFill>
          </w14:textFill>
        </w:rPr>
        <w:t>全部由符合政策要求的小微企业承接，提供中小企业声明函；</w:t>
      </w:r>
    </w:p>
    <w:p w14:paraId="236CBF6C">
      <w:pPr>
        <w:spacing w:line="360" w:lineRule="auto"/>
        <w:ind w:firstLine="480"/>
        <w:rPr>
          <w:rFonts w:hint="eastAsia" w:ascii="宋体" w:hAnsi="宋体" w:eastAsia="宋体" w:cs="宋体"/>
          <w:snapToGrid w:val="0"/>
          <w:kern w:val="28"/>
          <w:sz w:val="24"/>
          <w:szCs w:val="20"/>
        </w:rPr>
      </w:pPr>
      <w:r>
        <w:rPr>
          <w:rFonts w:hint="eastAsia" w:ascii="宋体" w:hAnsi="宋体" w:cs="宋体"/>
          <w:snapToGrid w:val="0"/>
          <w:kern w:val="28"/>
          <w:sz w:val="24"/>
          <w:szCs w:val="20"/>
          <w:lang w:val="en-US" w:eastAsia="zh-CN"/>
        </w:rPr>
        <w:t>3</w:t>
      </w:r>
      <w:r>
        <w:rPr>
          <w:rFonts w:hint="eastAsia" w:ascii="宋体" w:hAnsi="宋体" w:eastAsia="宋体" w:cs="宋体"/>
          <w:snapToGrid w:val="0"/>
          <w:kern w:val="28"/>
          <w:sz w:val="24"/>
          <w:szCs w:val="20"/>
        </w:rPr>
        <w:t>.单位负责人为同一人或者存在直接控股、管理关系的不同</w:t>
      </w:r>
      <w:r>
        <w:rPr>
          <w:rFonts w:hint="eastAsia" w:ascii="宋体" w:hAnsi="宋体" w:cs="宋体"/>
          <w:snapToGrid w:val="0"/>
          <w:kern w:val="28"/>
          <w:sz w:val="24"/>
          <w:szCs w:val="20"/>
          <w:lang w:val="en-US" w:eastAsia="zh-CN"/>
        </w:rPr>
        <w:t>投标单位</w:t>
      </w:r>
      <w:r>
        <w:rPr>
          <w:rFonts w:hint="eastAsia" w:ascii="宋体" w:hAnsi="宋体" w:eastAsia="宋体" w:cs="宋体"/>
          <w:snapToGrid w:val="0"/>
          <w:kern w:val="28"/>
          <w:sz w:val="24"/>
          <w:szCs w:val="20"/>
        </w:rPr>
        <w:t>，不得参加同一合同项下的采购活动；为采购项目提供整体设计、规范编制或者项目管理、监理、检测等服务后不得再参加该采购项目的其他采购活动。</w:t>
      </w:r>
    </w:p>
    <w:p w14:paraId="3DFB7498">
      <w:pPr>
        <w:spacing w:line="360" w:lineRule="auto"/>
        <w:ind w:firstLine="480"/>
        <w:rPr>
          <w:rFonts w:hint="eastAsia" w:ascii="宋体" w:hAnsi="宋体" w:eastAsia="宋体" w:cs="宋体"/>
          <w:snapToGrid w:val="0"/>
          <w:kern w:val="28"/>
          <w:sz w:val="24"/>
          <w:szCs w:val="20"/>
          <w:lang w:val="en-US" w:eastAsia="zh-CN"/>
        </w:rPr>
      </w:pPr>
      <w:r>
        <w:rPr>
          <w:rFonts w:hint="eastAsia" w:ascii="宋体" w:hAnsi="宋体" w:cs="宋体"/>
          <w:snapToGrid w:val="0"/>
          <w:kern w:val="28"/>
          <w:sz w:val="24"/>
          <w:szCs w:val="20"/>
          <w:lang w:val="en-US" w:eastAsia="zh-CN"/>
        </w:rPr>
        <w:t>4</w:t>
      </w:r>
      <w:r>
        <w:rPr>
          <w:rFonts w:hint="eastAsia" w:ascii="宋体" w:hAnsi="宋体" w:eastAsia="宋体" w:cs="宋体"/>
          <w:snapToGrid w:val="0"/>
          <w:kern w:val="28"/>
          <w:sz w:val="24"/>
          <w:szCs w:val="20"/>
          <w:lang w:val="en-US" w:eastAsia="zh-CN"/>
        </w:rPr>
        <w:t>.法律、行政法规规定的其他条件。</w:t>
      </w:r>
    </w:p>
    <w:p w14:paraId="628B79DE">
      <w:pPr>
        <w:spacing w:line="360" w:lineRule="auto"/>
        <w:ind w:firstLine="480"/>
        <w:rPr>
          <w:rFonts w:hint="eastAsia" w:ascii="宋体" w:hAnsi="宋体" w:eastAsia="宋体" w:cs="宋体"/>
          <w:snapToGrid w:val="0"/>
          <w:kern w:val="28"/>
          <w:sz w:val="24"/>
          <w:szCs w:val="20"/>
          <w:highlight w:val="none"/>
          <w:lang w:val="en-US" w:eastAsia="zh-CN"/>
        </w:rPr>
      </w:pPr>
      <w:r>
        <w:rPr>
          <w:rFonts w:hint="eastAsia" w:ascii="宋体" w:hAnsi="宋体" w:cs="宋体"/>
          <w:snapToGrid w:val="0"/>
          <w:kern w:val="28"/>
          <w:sz w:val="24"/>
          <w:szCs w:val="20"/>
          <w:highlight w:val="none"/>
          <w:lang w:val="en-US" w:eastAsia="zh-CN"/>
        </w:rPr>
        <w:t>5</w:t>
      </w:r>
      <w:r>
        <w:rPr>
          <w:rFonts w:hint="eastAsia" w:ascii="宋体" w:hAnsi="宋体" w:eastAsia="宋体" w:cs="宋体"/>
          <w:snapToGrid w:val="0"/>
          <w:kern w:val="28"/>
          <w:sz w:val="24"/>
          <w:szCs w:val="20"/>
          <w:highlight w:val="none"/>
          <w:lang w:val="en-US" w:eastAsia="zh-CN"/>
        </w:rPr>
        <w:t>.本项目不接受联合体投标。</w:t>
      </w:r>
    </w:p>
    <w:p w14:paraId="43118BB2">
      <w:pPr>
        <w:spacing w:line="360" w:lineRule="auto"/>
        <w:ind w:firstLine="482" w:firstLineChars="200"/>
        <w:rPr>
          <w:rFonts w:hint="eastAsia" w:ascii="宋体" w:hAnsi="宋体" w:cs="宋体"/>
          <w:b/>
          <w:bCs/>
          <w:sz w:val="24"/>
          <w:szCs w:val="24"/>
          <w:highlight w:val="none"/>
          <w:lang w:val="en-US" w:eastAsia="zh-CN"/>
        </w:rPr>
      </w:pPr>
      <w:r>
        <w:rPr>
          <w:rFonts w:hint="eastAsia" w:ascii="宋体" w:hAnsi="宋体" w:cs="宋体"/>
          <w:b/>
          <w:bCs/>
          <w:snapToGrid w:val="0"/>
          <w:kern w:val="28"/>
          <w:sz w:val="24"/>
          <w:szCs w:val="20"/>
          <w:highlight w:val="none"/>
          <w:lang w:val="en-US" w:eastAsia="zh-CN"/>
        </w:rPr>
        <w:t>6</w:t>
      </w:r>
      <w:r>
        <w:rPr>
          <w:rFonts w:hint="eastAsia" w:ascii="宋体" w:hAnsi="宋体" w:eastAsia="宋体" w:cs="宋体"/>
          <w:b/>
          <w:bCs/>
          <w:snapToGrid w:val="0"/>
          <w:kern w:val="28"/>
          <w:sz w:val="24"/>
          <w:szCs w:val="20"/>
          <w:highlight w:val="none"/>
          <w:lang w:val="en-US" w:eastAsia="zh-CN"/>
        </w:rPr>
        <w:t>.本项目特定资格条件：</w:t>
      </w:r>
      <w:r>
        <w:rPr>
          <w:rFonts w:hint="eastAsia" w:ascii="宋体" w:hAnsi="宋体" w:cs="宋体"/>
          <w:b/>
          <w:bCs/>
          <w:sz w:val="24"/>
          <w:szCs w:val="24"/>
          <w:highlight w:val="none"/>
          <w:lang w:val="en-US" w:eastAsia="zh-CN"/>
        </w:rPr>
        <w:t>无</w:t>
      </w:r>
    </w:p>
    <w:p w14:paraId="7146AE3B">
      <w:pPr>
        <w:spacing w:line="360" w:lineRule="auto"/>
        <w:rPr>
          <w:rFonts w:hint="eastAsia" w:ascii="宋体" w:hAnsi="宋体" w:eastAsia="宋体" w:cs="宋体"/>
          <w:b/>
          <w:sz w:val="24"/>
        </w:rPr>
      </w:pPr>
      <w:r>
        <w:rPr>
          <w:rFonts w:hint="eastAsia" w:ascii="宋体" w:hAnsi="宋体" w:eastAsia="宋体" w:cs="宋体"/>
          <w:b/>
          <w:sz w:val="24"/>
        </w:rPr>
        <w:t xml:space="preserve">三、获取招标文件 </w:t>
      </w:r>
    </w:p>
    <w:p w14:paraId="574BC05F">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cs="宋体"/>
          <w:color w:val="FF0000"/>
          <w:sz w:val="24"/>
          <w:highlight w:val="none"/>
          <w:u w:val="single"/>
          <w:lang w:eastAsia="zh-CN"/>
        </w:rPr>
        <w:t>2024年7月</w:t>
      </w:r>
      <w:r>
        <w:rPr>
          <w:rFonts w:hint="eastAsia" w:ascii="宋体" w:hAnsi="宋体" w:cs="宋体"/>
          <w:color w:val="FF0000"/>
          <w:sz w:val="24"/>
          <w:highlight w:val="none"/>
          <w:u w:val="single"/>
          <w:lang w:val="en-US" w:eastAsia="zh-CN"/>
        </w:rPr>
        <w:t>12</w:t>
      </w:r>
      <w:r>
        <w:rPr>
          <w:rFonts w:hint="eastAsia" w:ascii="宋体" w:hAnsi="宋体" w:cs="宋体"/>
          <w:color w:val="FF0000"/>
          <w:sz w:val="24"/>
          <w:highlight w:val="none"/>
          <w:u w:val="single"/>
          <w:lang w:eastAsia="zh-CN"/>
        </w:rPr>
        <w:t>日</w:t>
      </w:r>
      <w:r>
        <w:rPr>
          <w:rFonts w:hint="eastAsia" w:ascii="宋体" w:hAnsi="宋体" w:eastAsia="宋体" w:cs="宋体"/>
          <w:sz w:val="24"/>
          <w:highlight w:val="none"/>
        </w:rPr>
        <w:t>至</w:t>
      </w:r>
      <w:r>
        <w:rPr>
          <w:rFonts w:hint="eastAsia" w:ascii="宋体" w:hAnsi="宋体" w:cs="宋体"/>
          <w:color w:val="FF0000"/>
          <w:sz w:val="24"/>
          <w:highlight w:val="yellow"/>
          <w:u w:val="single"/>
          <w:lang w:eastAsia="zh-CN"/>
        </w:rPr>
        <w:t>2024年7月18日</w:t>
      </w:r>
      <w:r>
        <w:rPr>
          <w:rFonts w:hint="eastAsia" w:ascii="宋体" w:hAnsi="宋体" w:cs="宋体"/>
          <w:color w:val="FF0000"/>
          <w:sz w:val="24"/>
          <w:highlight w:val="yellow"/>
          <w:u w:val="single"/>
          <w:lang w:val="en-US" w:eastAsia="zh-CN"/>
        </w:rPr>
        <w:t>09点</w:t>
      </w:r>
      <w:r>
        <w:rPr>
          <w:rFonts w:hint="eastAsia" w:ascii="宋体" w:hAnsi="宋体" w:cs="宋体"/>
          <w:color w:val="FF0000"/>
          <w:sz w:val="24"/>
          <w:highlight w:val="yellow"/>
          <w:u w:val="single"/>
          <w:lang w:eastAsia="zh-CN"/>
        </w:rPr>
        <w:t>00分00秒</w:t>
      </w:r>
      <w:r>
        <w:rPr>
          <w:rFonts w:hint="eastAsia" w:ascii="宋体" w:hAnsi="宋体" w:eastAsia="宋体" w:cs="宋体"/>
          <w:sz w:val="24"/>
          <w:highlight w:val="none"/>
        </w:rPr>
        <w:t>，</w:t>
      </w:r>
      <w:r>
        <w:rPr>
          <w:rFonts w:hint="eastAsia" w:ascii="宋体" w:hAnsi="宋体" w:eastAsia="宋体" w:cs="宋体"/>
          <w:sz w:val="24"/>
        </w:rPr>
        <w:t>每天上午00:00至12:00 ，下午12:00至23:59（北京时间，线上获取法定节假日均可，线下获取文件法定节假日除外）</w:t>
      </w:r>
    </w:p>
    <w:p w14:paraId="28A759D2">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b/>
          <w:color w:val="auto"/>
          <w:sz w:val="24"/>
          <w:highlight w:val="none"/>
          <w:lang w:eastAsia="zh-CN"/>
        </w:rPr>
        <w:t>桐庐县青少年宫官</w:t>
      </w:r>
      <w:r>
        <w:rPr>
          <w:rFonts w:hint="eastAsia" w:ascii="宋体" w:hAnsi="宋体" w:eastAsia="宋体" w:cs="宋体"/>
          <w:b/>
          <w:color w:val="auto"/>
          <w:sz w:val="24"/>
          <w:highlight w:val="none"/>
        </w:rPr>
        <w:t>网（https://tl.qsng.cn/index.htm）</w:t>
      </w:r>
    </w:p>
    <w:p w14:paraId="29435085">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b/>
          <w:color w:val="auto"/>
          <w:sz w:val="24"/>
          <w:highlight w:val="none"/>
          <w:lang w:val="en-US" w:eastAsia="zh-CN"/>
        </w:rPr>
        <w:t>投标单位</w:t>
      </w:r>
      <w:r>
        <w:rPr>
          <w:rFonts w:hint="eastAsia" w:ascii="宋体" w:hAnsi="宋体" w:eastAsia="宋体" w:cs="宋体"/>
          <w:b/>
          <w:color w:val="auto"/>
          <w:sz w:val="24"/>
          <w:highlight w:val="none"/>
          <w:lang w:eastAsia="zh-CN"/>
        </w:rPr>
        <w:t>登录桐庐县青少年宫官</w:t>
      </w:r>
      <w:r>
        <w:rPr>
          <w:rFonts w:hint="eastAsia" w:ascii="宋体" w:hAnsi="宋体" w:eastAsia="宋体" w:cs="宋体"/>
          <w:b/>
          <w:color w:val="auto"/>
          <w:sz w:val="24"/>
          <w:highlight w:val="none"/>
        </w:rPr>
        <w:t>网（https://tl.qsng.cn/index.htm）</w:t>
      </w:r>
      <w:r>
        <w:rPr>
          <w:rFonts w:hint="eastAsia" w:ascii="宋体" w:hAnsi="宋体" w:eastAsia="宋体" w:cs="宋体"/>
          <w:b/>
          <w:color w:val="auto"/>
          <w:sz w:val="24"/>
          <w:highlight w:val="none"/>
          <w:lang w:eastAsia="zh-CN"/>
        </w:rPr>
        <w:t>中心要闻</w:t>
      </w:r>
      <w:r>
        <w:rPr>
          <w:rFonts w:hint="eastAsia" w:ascii="宋体" w:hAnsi="宋体" w:eastAsia="宋体" w:cs="宋体"/>
          <w:b/>
          <w:color w:val="auto"/>
          <w:sz w:val="24"/>
          <w:highlight w:val="none"/>
        </w:rPr>
        <w:t>区域获取采购文件。</w:t>
      </w:r>
    </w:p>
    <w:p w14:paraId="3B6BEF06">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0ABCADAD">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提交投标文件截止时间</w:t>
      </w:r>
      <w:r>
        <w:rPr>
          <w:rFonts w:hint="eastAsia" w:ascii="宋体" w:hAnsi="宋体" w:eastAsia="宋体" w:cs="宋体"/>
          <w:b/>
          <w:sz w:val="24"/>
          <w:highlight w:val="none"/>
        </w:rPr>
        <w:t>：</w:t>
      </w:r>
      <w:r>
        <w:rPr>
          <w:rFonts w:hint="eastAsia" w:ascii="宋体" w:hAnsi="宋体" w:cs="宋体"/>
          <w:color w:val="FF0000"/>
          <w:sz w:val="24"/>
          <w:highlight w:val="yellow"/>
          <w:u w:val="single"/>
          <w:lang w:eastAsia="zh-CN"/>
        </w:rPr>
        <w:t>2024年7月18日</w:t>
      </w:r>
      <w:r>
        <w:rPr>
          <w:rFonts w:hint="eastAsia" w:ascii="宋体" w:hAnsi="宋体" w:cs="宋体"/>
          <w:color w:val="FF0000"/>
          <w:sz w:val="24"/>
          <w:highlight w:val="yellow"/>
          <w:u w:val="single"/>
          <w:lang w:val="en-US" w:eastAsia="zh-CN"/>
        </w:rPr>
        <w:t>09点</w:t>
      </w:r>
      <w:r>
        <w:rPr>
          <w:rFonts w:hint="eastAsia" w:ascii="宋体" w:hAnsi="宋体" w:cs="宋体"/>
          <w:color w:val="FF0000"/>
          <w:sz w:val="24"/>
          <w:highlight w:val="yellow"/>
          <w:u w:val="single"/>
          <w:lang w:eastAsia="zh-CN"/>
        </w:rPr>
        <w:t>00分00秒</w:t>
      </w:r>
      <w:r>
        <w:rPr>
          <w:rFonts w:hint="eastAsia" w:ascii="宋体" w:hAnsi="宋体" w:eastAsia="宋体" w:cs="宋体"/>
          <w:sz w:val="24"/>
        </w:rPr>
        <w:t>（北京时间）</w:t>
      </w:r>
    </w:p>
    <w:p w14:paraId="799BA00C">
      <w:pPr>
        <w:spacing w:line="360" w:lineRule="auto"/>
        <w:ind w:firstLine="482"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b/>
          <w:sz w:val="24"/>
        </w:rPr>
        <w:t>投标地点：</w:t>
      </w:r>
      <w:r>
        <w:rPr>
          <w:rFonts w:hint="eastAsia" w:ascii="宋体" w:hAnsi="宋体" w:eastAsia="宋体" w:cs="宋体"/>
          <w:color w:val="000000"/>
          <w:sz w:val="24"/>
          <w:lang w:eastAsia="zh-CN"/>
        </w:rPr>
        <w:t>桐庐县青少年宫6号楼2楼会议室</w:t>
      </w:r>
    </w:p>
    <w:p w14:paraId="6BDC1E39">
      <w:pPr>
        <w:spacing w:line="360" w:lineRule="auto"/>
        <w:ind w:firstLine="482" w:firstLineChars="200"/>
        <w:rPr>
          <w:rFonts w:hint="eastAsia" w:ascii="宋体" w:hAnsi="宋体" w:eastAsia="宋体" w:cs="宋体"/>
          <w:bCs/>
          <w:sz w:val="24"/>
          <w:u w:val="single"/>
        </w:rPr>
      </w:pPr>
      <w:r>
        <w:rPr>
          <w:rFonts w:hint="eastAsia" w:ascii="宋体" w:hAnsi="宋体" w:eastAsia="宋体" w:cs="宋体"/>
          <w:b/>
          <w:sz w:val="24"/>
        </w:rPr>
        <w:t>开标时间：</w:t>
      </w:r>
      <w:r>
        <w:rPr>
          <w:rFonts w:hint="eastAsia" w:ascii="宋体" w:hAnsi="宋体" w:cs="宋体"/>
          <w:color w:val="FF0000"/>
          <w:sz w:val="24"/>
          <w:highlight w:val="yellow"/>
          <w:u w:val="single"/>
          <w:lang w:eastAsia="zh-CN"/>
        </w:rPr>
        <w:t>2024年7月18日</w:t>
      </w:r>
      <w:r>
        <w:rPr>
          <w:rFonts w:hint="eastAsia" w:ascii="宋体" w:hAnsi="宋体" w:cs="宋体"/>
          <w:color w:val="FF0000"/>
          <w:sz w:val="24"/>
          <w:highlight w:val="yellow"/>
          <w:u w:val="single"/>
          <w:lang w:val="en-US" w:eastAsia="zh-CN"/>
        </w:rPr>
        <w:t>09点</w:t>
      </w:r>
      <w:r>
        <w:rPr>
          <w:rFonts w:hint="eastAsia" w:ascii="宋体" w:hAnsi="宋体" w:cs="宋体"/>
          <w:color w:val="FF0000"/>
          <w:sz w:val="24"/>
          <w:highlight w:val="yellow"/>
          <w:u w:val="single"/>
          <w:lang w:eastAsia="zh-CN"/>
        </w:rPr>
        <w:t>00分00秒</w:t>
      </w:r>
    </w:p>
    <w:p w14:paraId="3401F6BD">
      <w:pPr>
        <w:spacing w:line="360" w:lineRule="auto"/>
        <w:ind w:firstLine="482"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b/>
          <w:sz w:val="24"/>
        </w:rPr>
        <w:t>开标地点）：</w:t>
      </w:r>
      <w:r>
        <w:rPr>
          <w:rFonts w:hint="eastAsia" w:ascii="宋体" w:hAnsi="宋体" w:eastAsia="宋体" w:cs="宋体"/>
          <w:color w:val="000000"/>
          <w:sz w:val="24"/>
          <w:lang w:eastAsia="zh-CN"/>
        </w:rPr>
        <w:t>桐庐县青少年宫6号楼2楼会议室</w:t>
      </w:r>
    </w:p>
    <w:p w14:paraId="06CB8410">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6BEBE624">
      <w:pPr>
        <w:spacing w:line="360" w:lineRule="auto"/>
        <w:ind w:firstLine="480" w:firstLineChars="200"/>
        <w:rPr>
          <w:rFonts w:hint="eastAsia" w:ascii="宋体" w:hAnsi="宋体" w:eastAsia="宋体" w:cs="宋体"/>
          <w:color w:val="000000"/>
          <w:sz w:val="24"/>
          <w:lang w:eastAsia="zh-CN"/>
        </w:rPr>
      </w:pPr>
      <w:r>
        <w:rPr>
          <w:rFonts w:hint="eastAsia" w:ascii="宋体" w:hAnsi="宋体" w:eastAsia="宋体" w:cs="宋体"/>
          <w:color w:val="000000"/>
          <w:sz w:val="24"/>
          <w:lang w:eastAsia="zh-CN"/>
        </w:rPr>
        <w:t>自本公告发布之日起</w:t>
      </w:r>
      <w:r>
        <w:rPr>
          <w:rFonts w:hint="eastAsia" w:ascii="宋体" w:hAnsi="宋体" w:eastAsia="宋体" w:cs="宋体"/>
          <w:color w:val="000000"/>
          <w:sz w:val="24"/>
          <w:lang w:val="en-US" w:eastAsia="zh-CN"/>
        </w:rPr>
        <w:t>1</w:t>
      </w:r>
      <w:r>
        <w:rPr>
          <w:rFonts w:hint="eastAsia" w:ascii="宋体" w:hAnsi="宋体" w:eastAsia="宋体" w:cs="宋体"/>
          <w:color w:val="000000"/>
          <w:sz w:val="24"/>
          <w:lang w:eastAsia="zh-CN"/>
        </w:rPr>
        <w:t>个工作日。</w:t>
      </w:r>
    </w:p>
    <w:p w14:paraId="467E1BCC">
      <w:pPr>
        <w:numPr>
          <w:ilvl w:val="0"/>
          <w:numId w:val="0"/>
        </w:numPr>
        <w:spacing w:line="360" w:lineRule="auto"/>
        <w:rPr>
          <w:rFonts w:hint="eastAsia" w:ascii="宋体" w:hAnsi="宋体" w:eastAsia="宋体" w:cs="宋体"/>
          <w:b/>
          <w:sz w:val="24"/>
        </w:rPr>
      </w:pPr>
      <w:r>
        <w:rPr>
          <w:rFonts w:hint="eastAsia" w:ascii="宋体" w:hAnsi="宋体" w:eastAsia="宋体" w:cs="宋体"/>
          <w:b/>
          <w:sz w:val="24"/>
          <w:lang w:eastAsia="zh-CN"/>
        </w:rPr>
        <w:t>六、</w:t>
      </w:r>
      <w:r>
        <w:rPr>
          <w:rFonts w:hint="eastAsia" w:ascii="宋体" w:hAnsi="宋体" w:eastAsia="宋体" w:cs="宋体"/>
          <w:b/>
          <w:sz w:val="24"/>
        </w:rPr>
        <w:t>其他补充事宜</w:t>
      </w:r>
    </w:p>
    <w:p w14:paraId="74BA20B6">
      <w:pPr>
        <w:spacing w:line="360" w:lineRule="auto"/>
        <w:ind w:firstLine="480" w:firstLineChars="200"/>
        <w:rPr>
          <w:rFonts w:hint="eastAsia" w:ascii="宋体" w:hAnsi="宋体" w:eastAsia="宋体" w:cs="宋体"/>
          <w:b/>
          <w:bCs w:val="0"/>
          <w:kern w:val="2"/>
          <w:sz w:val="24"/>
          <w:szCs w:val="24"/>
          <w:lang w:val="en-US" w:eastAsia="zh-CN" w:bidi="ar-SA"/>
        </w:rPr>
      </w:pPr>
      <w:r>
        <w:rPr>
          <w:rFonts w:hint="eastAsia" w:ascii="宋体" w:hAnsi="宋体" w:cs="宋体"/>
          <w:snapToGrid w:val="0"/>
          <w:kern w:val="28"/>
          <w:sz w:val="24"/>
          <w:szCs w:val="20"/>
          <w:lang w:val="en-US" w:eastAsia="zh-CN"/>
        </w:rPr>
        <w:t>投标单位</w:t>
      </w:r>
      <w:r>
        <w:rPr>
          <w:rFonts w:hint="eastAsia" w:ascii="宋体" w:hAnsi="宋体" w:eastAsia="宋体" w:cs="宋体"/>
          <w:sz w:val="24"/>
        </w:rPr>
        <w:t>认为招标文件使自己的权益受到损害的，可以自获取招标文件之日或者招标文件公告期限届满之日（公告期限届满后获取招标文件的，以公告期限届满之日为准）起7个工作日内，以书面形式向</w:t>
      </w:r>
      <w:r>
        <w:rPr>
          <w:rFonts w:hint="eastAsia" w:ascii="宋体" w:hAnsi="宋体" w:cs="宋体"/>
          <w:sz w:val="24"/>
          <w:lang w:eastAsia="zh-CN"/>
        </w:rPr>
        <w:t>采购单位</w:t>
      </w:r>
      <w:r>
        <w:rPr>
          <w:rFonts w:hint="eastAsia" w:ascii="宋体" w:hAnsi="宋体" w:eastAsia="宋体" w:cs="宋体"/>
          <w:sz w:val="24"/>
        </w:rPr>
        <w:t>和采购代理机构提出质疑。质疑</w:t>
      </w:r>
      <w:r>
        <w:rPr>
          <w:rFonts w:hint="eastAsia" w:ascii="宋体" w:hAnsi="宋体" w:cs="宋体"/>
          <w:sz w:val="24"/>
          <w:lang w:val="en-US" w:eastAsia="zh-CN"/>
        </w:rPr>
        <w:t>投标单位</w:t>
      </w:r>
      <w:r>
        <w:rPr>
          <w:rFonts w:hint="eastAsia" w:ascii="宋体" w:hAnsi="宋体" w:eastAsia="宋体" w:cs="宋体"/>
          <w:sz w:val="24"/>
        </w:rPr>
        <w:t>对</w:t>
      </w:r>
      <w:r>
        <w:rPr>
          <w:rFonts w:hint="eastAsia" w:ascii="宋体" w:hAnsi="宋体" w:cs="宋体"/>
          <w:sz w:val="24"/>
          <w:lang w:eastAsia="zh-CN"/>
        </w:rPr>
        <w:t>采购单位</w:t>
      </w:r>
      <w:r>
        <w:rPr>
          <w:rFonts w:hint="eastAsia" w:ascii="宋体" w:hAnsi="宋体" w:eastAsia="宋体" w:cs="宋体"/>
          <w:sz w:val="24"/>
        </w:rPr>
        <w:t>、采购代理机构的答复不满意或者</w:t>
      </w:r>
      <w:r>
        <w:rPr>
          <w:rFonts w:hint="eastAsia" w:ascii="宋体" w:hAnsi="宋体" w:cs="宋体"/>
          <w:sz w:val="24"/>
          <w:lang w:eastAsia="zh-CN"/>
        </w:rPr>
        <w:t>采购单位</w:t>
      </w:r>
      <w:r>
        <w:rPr>
          <w:rFonts w:hint="eastAsia" w:ascii="宋体" w:hAnsi="宋体" w:eastAsia="宋体" w:cs="宋体"/>
          <w:sz w:val="24"/>
        </w:rPr>
        <w:t>、采购代理机构未在规定的时间内作出答复的，可以在答复期满后十五个工作日内向同级采购监督管理部门投诉。质疑函范本、投诉书范本请到浙江政府采购网下载专区下载。</w:t>
      </w:r>
      <w:bookmarkStart w:id="5" w:name="_Toc1184"/>
      <w:bookmarkStart w:id="6" w:name="_Toc16431"/>
      <w:bookmarkStart w:id="7" w:name="_Toc21908"/>
    </w:p>
    <w:p w14:paraId="7FB25D80">
      <w:pPr>
        <w:spacing w:line="360" w:lineRule="auto"/>
        <w:rPr>
          <w:rFonts w:hint="eastAsia" w:ascii="宋体" w:hAnsi="宋体" w:eastAsia="宋体" w:cs="宋体"/>
          <w:b/>
          <w:sz w:val="24"/>
        </w:rPr>
      </w:pPr>
      <w:r>
        <w:rPr>
          <w:rFonts w:hint="eastAsia" w:ascii="宋体" w:hAnsi="宋体" w:eastAsia="宋体" w:cs="宋体"/>
          <w:b/>
          <w:bCs w:val="0"/>
          <w:kern w:val="2"/>
          <w:sz w:val="24"/>
          <w:szCs w:val="24"/>
          <w:lang w:val="en-US" w:eastAsia="zh-CN" w:bidi="ar-SA"/>
        </w:rPr>
        <w:t>七、</w:t>
      </w:r>
      <w:bookmarkEnd w:id="5"/>
      <w:bookmarkEnd w:id="6"/>
      <w:bookmarkEnd w:id="7"/>
      <w:r>
        <w:rPr>
          <w:rFonts w:hint="eastAsia" w:ascii="宋体" w:hAnsi="宋体" w:eastAsia="宋体" w:cs="宋体"/>
          <w:b/>
          <w:sz w:val="24"/>
        </w:rPr>
        <w:t>对本次采购提出询问、质疑、投诉，请按以下方式联系</w:t>
      </w:r>
    </w:p>
    <w:p w14:paraId="68756F14">
      <w:pPr>
        <w:spacing w:line="360" w:lineRule="auto"/>
        <w:rPr>
          <w:rFonts w:hint="eastAsia" w:ascii="宋体" w:hAnsi="宋体" w:eastAsia="宋体" w:cs="宋体"/>
          <w:sz w:val="24"/>
        </w:rPr>
      </w:pPr>
      <w:r>
        <w:rPr>
          <w:rFonts w:hint="eastAsia" w:ascii="宋体" w:hAnsi="宋体" w:eastAsia="宋体" w:cs="宋体"/>
          <w:sz w:val="24"/>
        </w:rPr>
        <w:t xml:space="preserve">    1.</w:t>
      </w:r>
      <w:r>
        <w:rPr>
          <w:rFonts w:hint="eastAsia" w:ascii="宋体" w:hAnsi="宋体" w:cs="宋体"/>
          <w:sz w:val="24"/>
          <w:lang w:eastAsia="zh-CN"/>
        </w:rPr>
        <w:t>采购单位</w:t>
      </w:r>
      <w:r>
        <w:rPr>
          <w:rFonts w:hint="eastAsia" w:ascii="宋体" w:hAnsi="宋体" w:eastAsia="宋体" w:cs="宋体"/>
          <w:sz w:val="24"/>
        </w:rPr>
        <w:t>信息</w:t>
      </w:r>
    </w:p>
    <w:p w14:paraId="0C7BCA2D">
      <w:pPr>
        <w:spacing w:line="360" w:lineRule="auto"/>
        <w:rPr>
          <w:rFonts w:hint="eastAsia" w:ascii="宋体" w:hAnsi="宋体" w:eastAsia="宋体" w:cs="宋体"/>
          <w:color w:val="auto"/>
          <w:sz w:val="24"/>
          <w:highlight w:val="none"/>
          <w:lang w:eastAsia="zh-CN"/>
        </w:rPr>
      </w:pPr>
      <w:r>
        <w:rPr>
          <w:rFonts w:hint="eastAsia" w:ascii="宋体" w:hAnsi="宋体" w:eastAsia="宋体" w:cs="宋体"/>
          <w:sz w:val="24"/>
        </w:rPr>
        <w:t xml:space="preserve">    </w:t>
      </w:r>
      <w:r>
        <w:rPr>
          <w:rFonts w:hint="eastAsia" w:ascii="宋体" w:hAnsi="宋体" w:eastAsia="宋体" w:cs="宋体"/>
          <w:color w:val="auto"/>
          <w:sz w:val="24"/>
          <w:highlight w:val="none"/>
          <w:lang w:eastAsia="zh-CN"/>
        </w:rPr>
        <w:t>名    称：桐庐县青少年宫</w:t>
      </w:r>
    </w:p>
    <w:p w14:paraId="07E86D22">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 xml:space="preserve">    地址：桐庐县城南街道白云源路1588号</w:t>
      </w:r>
    </w:p>
    <w:p w14:paraId="36520BF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项目联系人（询问）：范银霞</w:t>
      </w:r>
    </w:p>
    <w:p w14:paraId="4045DF94">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   项目联系方式（询问）：</w:t>
      </w:r>
      <w:r>
        <w:rPr>
          <w:rFonts w:hint="eastAsia" w:ascii="宋体" w:hAnsi="宋体" w:eastAsia="宋体" w:cs="宋体"/>
          <w:color w:val="auto"/>
          <w:sz w:val="24"/>
          <w:highlight w:val="none"/>
          <w:lang w:val="en-US" w:eastAsia="zh-CN"/>
        </w:rPr>
        <w:t>15957165500</w:t>
      </w:r>
    </w:p>
    <w:p w14:paraId="59356653">
      <w:pPr>
        <w:spacing w:line="360" w:lineRule="auto"/>
        <w:rPr>
          <w:rFonts w:hint="eastAsia" w:ascii="宋体" w:hAnsi="宋体" w:eastAsia="宋体" w:cs="宋体"/>
          <w:color w:val="auto"/>
          <w:sz w:val="24"/>
          <w:highlight w:val="none"/>
          <w:lang w:val="en-US" w:eastAsia="zh-CN"/>
        </w:rPr>
      </w:pPr>
    </w:p>
    <w:p w14:paraId="6D8B500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 xml:space="preserve">2.采购代理机构信息           </w:t>
      </w:r>
      <w:r>
        <w:rPr>
          <w:rFonts w:hint="eastAsia" w:ascii="宋体" w:hAnsi="宋体" w:eastAsia="宋体" w:cs="宋体"/>
          <w:color w:val="auto"/>
          <w:sz w:val="24"/>
          <w:highlight w:val="none"/>
        </w:rPr>
        <w:t xml:space="preserve"> </w:t>
      </w:r>
    </w:p>
    <w:p w14:paraId="0AF42F03">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称：杭州全咨项目管理有限公司</w:t>
      </w:r>
    </w:p>
    <w:p w14:paraId="1E091427">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 杭州市桐庐县城南街道春江路719号国贸大厦7楼           </w:t>
      </w:r>
    </w:p>
    <w:p w14:paraId="16B7E2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项目联系人（询问）：周苗苗         </w:t>
      </w:r>
    </w:p>
    <w:p w14:paraId="4BE1E99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 13136568260</w:t>
      </w:r>
    </w:p>
    <w:p w14:paraId="490E725B">
      <w:pPr>
        <w:spacing w:line="360" w:lineRule="auto"/>
        <w:rPr>
          <w:rFonts w:hint="eastAsia" w:ascii="宋体" w:hAnsi="宋体" w:eastAsia="宋体" w:cs="宋体"/>
          <w:color w:val="000000"/>
          <w:sz w:val="24"/>
        </w:rPr>
      </w:pPr>
      <w:r>
        <w:rPr>
          <w:rFonts w:hint="eastAsia" w:ascii="宋体" w:hAnsi="宋体" w:eastAsia="宋体" w:cs="宋体"/>
          <w:color w:val="auto"/>
          <w:sz w:val="24"/>
          <w:highlight w:val="none"/>
        </w:rPr>
        <w:t xml:space="preserve">    </w:t>
      </w:r>
      <w:r>
        <w:rPr>
          <w:rFonts w:hint="eastAsia" w:ascii="宋体" w:hAnsi="宋体" w:eastAsia="宋体" w:cs="宋体"/>
          <w:color w:val="000000"/>
          <w:sz w:val="24"/>
        </w:rPr>
        <w:t>质疑联系人：</w:t>
      </w:r>
      <w:r>
        <w:rPr>
          <w:rFonts w:hint="eastAsia" w:ascii="宋体" w:hAnsi="宋体" w:cs="宋体"/>
          <w:color w:val="000000"/>
          <w:sz w:val="24"/>
          <w:lang w:val="en-US" w:eastAsia="zh-CN"/>
        </w:rPr>
        <w:t>许红霞</w:t>
      </w:r>
      <w:r>
        <w:rPr>
          <w:rFonts w:hint="eastAsia" w:ascii="宋体" w:hAnsi="宋体" w:eastAsia="宋体" w:cs="宋体"/>
          <w:color w:val="000000"/>
          <w:sz w:val="24"/>
        </w:rPr>
        <w:t xml:space="preserve">          </w:t>
      </w:r>
    </w:p>
    <w:p w14:paraId="2280D483">
      <w:pPr>
        <w:spacing w:line="360" w:lineRule="auto"/>
        <w:ind w:firstLine="480" w:firstLineChars="200"/>
        <w:rPr>
          <w:rFonts w:hint="default" w:ascii="宋体" w:hAnsi="宋体" w:eastAsia="宋体" w:cs="宋体"/>
          <w:color w:val="000000"/>
          <w:sz w:val="24"/>
          <w:lang w:val="en-US" w:eastAsia="zh-CN"/>
        </w:rPr>
      </w:pPr>
      <w:r>
        <w:rPr>
          <w:rFonts w:hint="eastAsia" w:ascii="宋体" w:hAnsi="宋体" w:eastAsia="宋体" w:cs="宋体"/>
          <w:color w:val="000000"/>
          <w:sz w:val="24"/>
        </w:rPr>
        <w:t xml:space="preserve">质疑联系方式： </w:t>
      </w:r>
      <w:r>
        <w:rPr>
          <w:rFonts w:hint="eastAsia" w:ascii="宋体" w:hAnsi="宋体" w:eastAsia="宋体" w:cs="宋体"/>
          <w:color w:val="000000"/>
          <w:sz w:val="24"/>
          <w:lang w:val="en-US" w:eastAsia="zh-CN"/>
        </w:rPr>
        <w:t>15024476646</w:t>
      </w:r>
    </w:p>
    <w:p w14:paraId="19AD1D1C">
      <w:pPr>
        <w:spacing w:line="360" w:lineRule="auto"/>
        <w:ind w:firstLine="480" w:firstLineChars="200"/>
        <w:rPr>
          <w:rFonts w:hint="eastAsia" w:ascii="宋体" w:hAnsi="宋体" w:eastAsia="宋体" w:cs="宋体"/>
          <w:color w:val="auto"/>
          <w:sz w:val="24"/>
          <w:highlight w:val="none"/>
        </w:rPr>
      </w:pPr>
    </w:p>
    <w:p w14:paraId="18C166C8">
      <w:pPr>
        <w:pStyle w:val="83"/>
        <w:rPr>
          <w:rFonts w:hint="eastAsia" w:ascii="宋体" w:hAnsi="宋体" w:eastAsia="宋体" w:cs="宋体"/>
        </w:rPr>
      </w:pPr>
    </w:p>
    <w:p w14:paraId="54A8AEAD">
      <w:pPr>
        <w:spacing w:line="360" w:lineRule="auto"/>
        <w:ind w:firstLine="480"/>
        <w:rPr>
          <w:rFonts w:hint="eastAsia" w:ascii="宋体" w:hAnsi="宋体" w:eastAsia="宋体" w:cs="宋体"/>
          <w:color w:val="auto"/>
          <w:sz w:val="24"/>
          <w:highlight w:val="none"/>
          <w:lang w:val="en-US" w:eastAsia="zh-CN"/>
        </w:rPr>
      </w:pPr>
    </w:p>
    <w:p w14:paraId="557CDAC4">
      <w:pPr>
        <w:spacing w:line="360" w:lineRule="auto"/>
        <w:ind w:firstLine="480"/>
        <w:rPr>
          <w:rFonts w:hint="eastAsia" w:ascii="宋体" w:hAnsi="宋体" w:eastAsia="宋体" w:cs="宋体"/>
          <w:color w:val="auto"/>
          <w:sz w:val="24"/>
          <w:highlight w:val="none"/>
          <w:lang w:val="en-US" w:eastAsia="zh-CN"/>
        </w:rPr>
      </w:pPr>
    </w:p>
    <w:p w14:paraId="72D7756F">
      <w:pPr>
        <w:spacing w:line="360" w:lineRule="auto"/>
        <w:ind w:firstLine="480"/>
        <w:rPr>
          <w:rFonts w:hint="eastAsia" w:ascii="宋体" w:hAnsi="宋体" w:eastAsia="宋体" w:cs="宋体"/>
          <w:color w:val="auto"/>
          <w:sz w:val="24"/>
          <w:highlight w:val="none"/>
          <w:lang w:val="en-US" w:eastAsia="zh-CN"/>
        </w:rPr>
      </w:pPr>
    </w:p>
    <w:p w14:paraId="2C7EF288">
      <w:pPr>
        <w:pStyle w:val="83"/>
        <w:rPr>
          <w:rFonts w:hint="eastAsia" w:ascii="宋体" w:hAnsi="宋体" w:eastAsia="宋体" w:cs="宋体"/>
          <w:lang w:val="en-US" w:eastAsia="zh-CN"/>
        </w:rPr>
      </w:pPr>
    </w:p>
    <w:p w14:paraId="045F8FD1">
      <w:pPr>
        <w:spacing w:line="360" w:lineRule="auto"/>
        <w:ind w:firstLine="480"/>
        <w:rPr>
          <w:rFonts w:hint="eastAsia" w:ascii="宋体" w:hAnsi="宋体" w:eastAsia="宋体" w:cs="宋体"/>
          <w:color w:val="auto"/>
          <w:sz w:val="24"/>
          <w:highlight w:val="none"/>
          <w:lang w:val="en-US" w:eastAsia="zh-CN"/>
        </w:rPr>
      </w:pPr>
    </w:p>
    <w:p w14:paraId="609997A1">
      <w:pPr>
        <w:pStyle w:val="83"/>
        <w:rPr>
          <w:rFonts w:hint="eastAsia" w:ascii="宋体" w:hAnsi="宋体" w:eastAsia="宋体" w:cs="宋体"/>
          <w:lang w:val="en-US" w:eastAsia="zh-CN"/>
        </w:rPr>
      </w:pPr>
    </w:p>
    <w:p w14:paraId="1D28E785">
      <w:pPr>
        <w:spacing w:line="360" w:lineRule="auto"/>
        <w:ind w:firstLine="480"/>
        <w:rPr>
          <w:rFonts w:hint="eastAsia" w:ascii="宋体" w:hAnsi="宋体" w:eastAsia="宋体" w:cs="宋体"/>
          <w:color w:val="auto"/>
          <w:sz w:val="24"/>
          <w:highlight w:val="none"/>
          <w:lang w:val="en-US" w:eastAsia="zh-CN"/>
        </w:rPr>
      </w:pPr>
    </w:p>
    <w:p w14:paraId="23D3678E">
      <w:pPr>
        <w:pStyle w:val="4"/>
        <w:rPr>
          <w:rFonts w:hint="eastAsia" w:ascii="宋体" w:hAnsi="宋体" w:eastAsia="宋体" w:cs="宋体"/>
          <w:color w:val="auto"/>
          <w:sz w:val="24"/>
          <w:highlight w:val="none"/>
          <w:lang w:val="en-US" w:eastAsia="zh-CN"/>
        </w:rPr>
      </w:pPr>
    </w:p>
    <w:p w14:paraId="003E3922">
      <w:pPr>
        <w:rPr>
          <w:rFonts w:hint="eastAsia" w:ascii="宋体" w:hAnsi="宋体" w:eastAsia="宋体" w:cs="宋体"/>
          <w:color w:val="auto"/>
          <w:sz w:val="24"/>
          <w:highlight w:val="none"/>
          <w:lang w:val="en-US" w:eastAsia="zh-CN"/>
        </w:rPr>
      </w:pPr>
    </w:p>
    <w:p w14:paraId="7A3F44E0">
      <w:pPr>
        <w:pStyle w:val="83"/>
        <w:rPr>
          <w:rFonts w:hint="eastAsia" w:ascii="宋体" w:hAnsi="宋体" w:eastAsia="宋体" w:cs="宋体"/>
          <w:color w:val="auto"/>
          <w:sz w:val="24"/>
          <w:highlight w:val="none"/>
          <w:lang w:val="en-US" w:eastAsia="zh-CN"/>
        </w:rPr>
      </w:pPr>
    </w:p>
    <w:p w14:paraId="3E9FC146">
      <w:pPr>
        <w:pStyle w:val="83"/>
        <w:rPr>
          <w:rFonts w:hint="eastAsia" w:ascii="宋体" w:hAnsi="宋体" w:eastAsia="宋体" w:cs="宋体"/>
          <w:color w:val="auto"/>
          <w:sz w:val="24"/>
          <w:highlight w:val="none"/>
          <w:lang w:val="en-US" w:eastAsia="zh-CN"/>
        </w:rPr>
      </w:pPr>
    </w:p>
    <w:p w14:paraId="26186E41">
      <w:pPr>
        <w:pStyle w:val="83"/>
        <w:rPr>
          <w:rFonts w:hint="eastAsia" w:ascii="宋体" w:hAnsi="宋体" w:eastAsia="宋体" w:cs="宋体"/>
          <w:color w:val="auto"/>
          <w:sz w:val="24"/>
          <w:highlight w:val="none"/>
          <w:lang w:val="en-US" w:eastAsia="zh-CN"/>
        </w:rPr>
      </w:pPr>
    </w:p>
    <w:p w14:paraId="07D3AEF1">
      <w:pPr>
        <w:pStyle w:val="83"/>
        <w:rPr>
          <w:rFonts w:hint="eastAsia" w:ascii="宋体" w:hAnsi="宋体" w:eastAsia="宋体" w:cs="宋体"/>
          <w:color w:val="auto"/>
          <w:sz w:val="24"/>
          <w:highlight w:val="none"/>
          <w:lang w:val="en-US" w:eastAsia="zh-CN"/>
        </w:rPr>
      </w:pPr>
    </w:p>
    <w:p w14:paraId="2EDFEED7">
      <w:pPr>
        <w:pStyle w:val="4"/>
        <w:rPr>
          <w:rFonts w:hint="eastAsia" w:ascii="宋体" w:hAnsi="宋体" w:eastAsia="宋体" w:cs="宋体"/>
          <w:color w:val="auto"/>
          <w:sz w:val="24"/>
          <w:highlight w:val="none"/>
          <w:lang w:val="en-US" w:eastAsia="zh-CN"/>
        </w:rPr>
      </w:pPr>
    </w:p>
    <w:p w14:paraId="4094EC87">
      <w:pPr>
        <w:rPr>
          <w:rFonts w:hint="eastAsia" w:ascii="宋体" w:hAnsi="宋体" w:eastAsia="宋体" w:cs="宋体"/>
          <w:color w:val="auto"/>
          <w:sz w:val="24"/>
          <w:highlight w:val="none"/>
          <w:lang w:val="en-US" w:eastAsia="zh-CN"/>
        </w:rPr>
      </w:pPr>
    </w:p>
    <w:p w14:paraId="64D2ABB0">
      <w:pPr>
        <w:pStyle w:val="4"/>
        <w:rPr>
          <w:rFonts w:hint="eastAsia" w:ascii="宋体" w:hAnsi="宋体" w:eastAsia="宋体" w:cs="宋体"/>
          <w:color w:val="auto"/>
          <w:sz w:val="24"/>
          <w:highlight w:val="none"/>
          <w:lang w:val="en-US" w:eastAsia="zh-CN"/>
        </w:rPr>
      </w:pPr>
    </w:p>
    <w:p w14:paraId="0CD4C13F">
      <w:pPr>
        <w:rPr>
          <w:rFonts w:hint="eastAsia" w:ascii="宋体" w:hAnsi="宋体" w:eastAsia="宋体" w:cs="宋体"/>
          <w:color w:val="auto"/>
          <w:sz w:val="24"/>
          <w:highlight w:val="none"/>
          <w:lang w:val="en-US" w:eastAsia="zh-CN"/>
        </w:rPr>
      </w:pPr>
    </w:p>
    <w:p w14:paraId="0AFFC25E">
      <w:pPr>
        <w:pStyle w:val="81"/>
        <w:rPr>
          <w:rFonts w:hint="eastAsia" w:ascii="宋体" w:hAnsi="宋体" w:eastAsia="宋体" w:cs="宋体"/>
          <w:color w:val="auto"/>
          <w:sz w:val="24"/>
          <w:highlight w:val="none"/>
          <w:lang w:val="en-US" w:eastAsia="zh-CN"/>
        </w:rPr>
      </w:pPr>
    </w:p>
    <w:p w14:paraId="69A13FF6">
      <w:pPr>
        <w:pStyle w:val="81"/>
        <w:rPr>
          <w:rFonts w:hint="eastAsia" w:ascii="宋体" w:hAnsi="宋体" w:eastAsia="宋体" w:cs="宋体"/>
          <w:color w:val="auto"/>
          <w:sz w:val="24"/>
          <w:highlight w:val="none"/>
          <w:lang w:val="en-US" w:eastAsia="zh-CN"/>
        </w:rPr>
      </w:pPr>
    </w:p>
    <w:p w14:paraId="5763C6E2">
      <w:pPr>
        <w:rPr>
          <w:rFonts w:hint="eastAsia" w:ascii="宋体" w:hAnsi="宋体" w:eastAsia="宋体" w:cs="宋体"/>
          <w:color w:val="auto"/>
          <w:sz w:val="24"/>
          <w:highlight w:val="none"/>
          <w:lang w:val="en-US" w:eastAsia="zh-CN"/>
        </w:rPr>
      </w:pPr>
    </w:p>
    <w:p w14:paraId="5435340B">
      <w:pPr>
        <w:pStyle w:val="27"/>
        <w:rPr>
          <w:rFonts w:hint="eastAsia" w:ascii="宋体" w:hAnsi="宋体" w:eastAsia="宋体" w:cs="宋体"/>
          <w:color w:val="auto"/>
          <w:sz w:val="24"/>
          <w:highlight w:val="none"/>
          <w:lang w:val="en-US" w:eastAsia="zh-CN"/>
        </w:rPr>
      </w:pPr>
    </w:p>
    <w:p w14:paraId="697BC4C8">
      <w:pPr>
        <w:pStyle w:val="28"/>
        <w:rPr>
          <w:rFonts w:hint="eastAsia" w:ascii="宋体" w:hAnsi="宋体" w:eastAsia="宋体" w:cs="宋体"/>
          <w:color w:val="auto"/>
          <w:sz w:val="24"/>
          <w:highlight w:val="none"/>
          <w:lang w:val="en-US" w:eastAsia="zh-CN"/>
        </w:rPr>
      </w:pPr>
    </w:p>
    <w:p w14:paraId="7E556459">
      <w:pPr>
        <w:pStyle w:val="29"/>
        <w:rPr>
          <w:rFonts w:hint="eastAsia" w:ascii="宋体" w:hAnsi="宋体" w:eastAsia="宋体" w:cs="宋体"/>
          <w:color w:val="auto"/>
          <w:sz w:val="24"/>
          <w:highlight w:val="none"/>
          <w:lang w:val="en-US" w:eastAsia="zh-CN"/>
        </w:rPr>
      </w:pPr>
    </w:p>
    <w:p w14:paraId="2A8CBC38">
      <w:pPr>
        <w:rPr>
          <w:rFonts w:hint="eastAsia" w:ascii="宋体" w:hAnsi="宋体" w:eastAsia="宋体" w:cs="宋体"/>
          <w:color w:val="auto"/>
          <w:sz w:val="24"/>
          <w:highlight w:val="none"/>
          <w:lang w:val="en-US" w:eastAsia="zh-CN"/>
        </w:rPr>
      </w:pPr>
    </w:p>
    <w:p w14:paraId="7A176584">
      <w:pPr>
        <w:pStyle w:val="27"/>
        <w:rPr>
          <w:rFonts w:hint="eastAsia" w:ascii="宋体" w:hAnsi="宋体" w:eastAsia="宋体" w:cs="宋体"/>
          <w:color w:val="auto"/>
          <w:sz w:val="24"/>
          <w:highlight w:val="none"/>
          <w:lang w:val="en-US" w:eastAsia="zh-CN"/>
        </w:rPr>
      </w:pPr>
    </w:p>
    <w:p w14:paraId="51B0FBAD">
      <w:pPr>
        <w:spacing w:line="360" w:lineRule="auto"/>
        <w:ind w:firstLine="723" w:firstLineChars="200"/>
        <w:jc w:val="center"/>
        <w:rPr>
          <w:rFonts w:hint="eastAsia" w:ascii="宋体" w:hAnsi="宋体" w:eastAsia="宋体" w:cs="宋体"/>
          <w:b/>
          <w:sz w:val="36"/>
          <w:szCs w:val="20"/>
        </w:rPr>
      </w:pPr>
      <w:r>
        <w:rPr>
          <w:rFonts w:hint="eastAsia" w:ascii="宋体" w:hAnsi="宋体" w:eastAsia="宋体" w:cs="宋体"/>
          <w:b/>
          <w:sz w:val="36"/>
          <w:szCs w:val="20"/>
        </w:rPr>
        <w:t>第二部分</w:t>
      </w:r>
      <w:bookmarkEnd w:id="2"/>
      <w:r>
        <w:rPr>
          <w:rFonts w:hint="eastAsia" w:ascii="宋体" w:hAnsi="宋体" w:eastAsia="宋体" w:cs="宋体"/>
          <w:b/>
          <w:sz w:val="36"/>
          <w:szCs w:val="20"/>
        </w:rPr>
        <w:t xml:space="preserve"> </w:t>
      </w:r>
      <w:r>
        <w:rPr>
          <w:rFonts w:hint="eastAsia" w:ascii="宋体" w:hAnsi="宋体" w:cs="宋体"/>
          <w:b/>
          <w:sz w:val="36"/>
          <w:szCs w:val="20"/>
          <w:lang w:eastAsia="zh-CN"/>
        </w:rPr>
        <w:t>投标单位</w:t>
      </w:r>
      <w:r>
        <w:rPr>
          <w:rFonts w:hint="eastAsia" w:ascii="宋体" w:hAnsi="宋体" w:eastAsia="宋体" w:cs="宋体"/>
          <w:b/>
          <w:sz w:val="36"/>
          <w:szCs w:val="20"/>
        </w:rPr>
        <w:t>须知</w:t>
      </w:r>
      <w:bookmarkEnd w:id="3"/>
    </w:p>
    <w:p w14:paraId="1538D7CB">
      <w:pPr>
        <w:snapToGrid w:val="0"/>
        <w:spacing w:line="360" w:lineRule="auto"/>
        <w:jc w:val="center"/>
        <w:rPr>
          <w:rFonts w:hint="eastAsia" w:ascii="宋体" w:hAnsi="宋体" w:eastAsia="宋体" w:cs="宋体"/>
          <w:b/>
          <w:sz w:val="32"/>
          <w:szCs w:val="20"/>
        </w:rPr>
      </w:pPr>
      <w:r>
        <w:rPr>
          <w:rFonts w:hint="eastAsia" w:ascii="宋体" w:hAnsi="宋体" w:eastAsia="宋体" w:cs="宋体"/>
          <w:b/>
          <w:sz w:val="32"/>
          <w:szCs w:val="20"/>
        </w:rPr>
        <w:t>前附表</w:t>
      </w:r>
    </w:p>
    <w:tbl>
      <w:tblPr>
        <w:tblStyle w:val="6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418"/>
        <w:gridCol w:w="7069"/>
      </w:tblGrid>
      <w:tr w14:paraId="27E6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69" w:type="dxa"/>
            <w:noWrap w:val="0"/>
            <w:vAlign w:val="center"/>
          </w:tcPr>
          <w:p w14:paraId="4E8158A1">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序号</w:t>
            </w:r>
          </w:p>
        </w:tc>
        <w:tc>
          <w:tcPr>
            <w:tcW w:w="1418" w:type="dxa"/>
            <w:noWrap w:val="0"/>
            <w:vAlign w:val="center"/>
          </w:tcPr>
          <w:p w14:paraId="6EE7E143">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项目</w:t>
            </w:r>
          </w:p>
        </w:tc>
        <w:tc>
          <w:tcPr>
            <w:tcW w:w="7069" w:type="dxa"/>
            <w:noWrap w:val="0"/>
            <w:vAlign w:val="center"/>
          </w:tcPr>
          <w:p w14:paraId="450214CC">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内容</w:t>
            </w:r>
          </w:p>
        </w:tc>
      </w:tr>
      <w:tr w14:paraId="1DAA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9" w:type="dxa"/>
            <w:noWrap w:val="0"/>
            <w:vAlign w:val="center"/>
          </w:tcPr>
          <w:p w14:paraId="55DD10FD">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418" w:type="dxa"/>
            <w:noWrap w:val="0"/>
            <w:vAlign w:val="center"/>
          </w:tcPr>
          <w:p w14:paraId="5826D395">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采购项目</w:t>
            </w:r>
          </w:p>
        </w:tc>
        <w:tc>
          <w:tcPr>
            <w:tcW w:w="7069" w:type="dxa"/>
            <w:noWrap w:val="0"/>
            <w:vAlign w:val="center"/>
          </w:tcPr>
          <w:p w14:paraId="43EFD0C9">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w:t>
            </w:r>
            <w:r>
              <w:rPr>
                <w:rFonts w:hint="eastAsia" w:ascii="宋体" w:hAnsi="宋体" w:cs="宋体"/>
                <w:color w:val="auto"/>
                <w:sz w:val="24"/>
                <w:highlight w:val="none"/>
                <w:lang w:val="en-US" w:eastAsia="zh-CN"/>
              </w:rPr>
              <w:t>2024年桐庐县青少年宫消防维保单位采购项目</w:t>
            </w:r>
          </w:p>
          <w:p w14:paraId="2141271B">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项目编号：</w:t>
            </w:r>
            <w:r>
              <w:rPr>
                <w:rFonts w:hint="eastAsia" w:ascii="宋体" w:hAnsi="宋体" w:cs="宋体"/>
                <w:color w:val="auto"/>
                <w:sz w:val="24"/>
                <w:highlight w:val="none"/>
                <w:lang w:val="en-US" w:eastAsia="zh-CN"/>
              </w:rPr>
              <w:t>QZ23301222024025</w:t>
            </w:r>
          </w:p>
        </w:tc>
      </w:tr>
      <w:tr w14:paraId="649B6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69" w:type="dxa"/>
            <w:noWrap w:val="0"/>
            <w:vAlign w:val="center"/>
          </w:tcPr>
          <w:p w14:paraId="5D074B7D">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418" w:type="dxa"/>
            <w:noWrap w:val="0"/>
            <w:vAlign w:val="center"/>
          </w:tcPr>
          <w:p w14:paraId="7CD3EB14">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采购方式</w:t>
            </w:r>
          </w:p>
        </w:tc>
        <w:tc>
          <w:tcPr>
            <w:tcW w:w="7069" w:type="dxa"/>
            <w:noWrap w:val="0"/>
            <w:vAlign w:val="center"/>
          </w:tcPr>
          <w:p w14:paraId="6F009B2A">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询价</w:t>
            </w:r>
          </w:p>
        </w:tc>
      </w:tr>
      <w:tr w14:paraId="3B2C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69" w:type="dxa"/>
            <w:vMerge w:val="restart"/>
            <w:noWrap w:val="0"/>
            <w:vAlign w:val="center"/>
          </w:tcPr>
          <w:p w14:paraId="430AB9CB">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418" w:type="dxa"/>
            <w:vMerge w:val="restart"/>
            <w:noWrap w:val="0"/>
            <w:vAlign w:val="center"/>
          </w:tcPr>
          <w:p w14:paraId="43B85CCE">
            <w:pPr>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投标单位</w:t>
            </w:r>
            <w:r>
              <w:rPr>
                <w:rFonts w:hint="eastAsia" w:ascii="宋体" w:hAnsi="宋体" w:eastAsia="宋体" w:cs="宋体"/>
                <w:color w:val="auto"/>
                <w:sz w:val="24"/>
                <w:highlight w:val="none"/>
                <w:lang w:val="en-US" w:eastAsia="zh-CN"/>
              </w:rPr>
              <w:t>应当提供的投标文件</w:t>
            </w:r>
          </w:p>
        </w:tc>
        <w:tc>
          <w:tcPr>
            <w:tcW w:w="7069" w:type="dxa"/>
            <w:noWrap w:val="0"/>
            <w:vAlign w:val="center"/>
          </w:tcPr>
          <w:p w14:paraId="0A907FA0">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（1）资格证明文件：见询价文件第二部分11.1。</w:t>
            </w:r>
          </w:p>
          <w:p w14:paraId="4204FB5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zh-CN" w:eastAsia="zh-CN"/>
              </w:rPr>
              <w:t>投标单位</w:t>
            </w:r>
            <w:r>
              <w:rPr>
                <w:rFonts w:hint="eastAsia" w:ascii="宋体" w:hAnsi="宋体" w:eastAsia="宋体" w:cs="宋体"/>
                <w:color w:val="auto"/>
                <w:sz w:val="24"/>
                <w:highlight w:val="none"/>
                <w:lang w:val="zh-CN" w:eastAsia="zh-CN"/>
              </w:rPr>
              <w:t>未提供有效的资格证明文件的，视为</w:t>
            </w:r>
            <w:r>
              <w:rPr>
                <w:rFonts w:hint="eastAsia" w:ascii="宋体" w:hAnsi="宋体" w:cs="宋体"/>
                <w:color w:val="auto"/>
                <w:sz w:val="24"/>
                <w:highlight w:val="none"/>
                <w:lang w:val="zh-CN" w:eastAsia="zh-CN"/>
              </w:rPr>
              <w:t>投标单位</w:t>
            </w:r>
            <w:r>
              <w:rPr>
                <w:rFonts w:hint="eastAsia" w:ascii="宋体" w:hAnsi="宋体" w:eastAsia="宋体" w:cs="宋体"/>
                <w:color w:val="auto"/>
                <w:sz w:val="24"/>
                <w:highlight w:val="none"/>
                <w:lang w:val="zh-CN" w:eastAsia="zh-CN"/>
              </w:rPr>
              <w:t>不具备询价文件中规定的资格要求，投标无效。</w:t>
            </w:r>
          </w:p>
        </w:tc>
      </w:tr>
      <w:tr w14:paraId="2A60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Merge w:val="continue"/>
            <w:noWrap w:val="0"/>
            <w:vAlign w:val="center"/>
          </w:tcPr>
          <w:p w14:paraId="72650D5A">
            <w:pPr>
              <w:spacing w:line="360" w:lineRule="auto"/>
              <w:rPr>
                <w:rFonts w:hint="eastAsia" w:ascii="宋体" w:hAnsi="宋体" w:eastAsia="宋体" w:cs="宋体"/>
              </w:rPr>
            </w:pPr>
          </w:p>
        </w:tc>
        <w:tc>
          <w:tcPr>
            <w:tcW w:w="1418" w:type="dxa"/>
            <w:vMerge w:val="continue"/>
            <w:noWrap w:val="0"/>
            <w:vAlign w:val="center"/>
          </w:tcPr>
          <w:p w14:paraId="05E4585A">
            <w:pPr>
              <w:spacing w:line="360" w:lineRule="auto"/>
              <w:jc w:val="center"/>
              <w:rPr>
                <w:rFonts w:hint="eastAsia" w:ascii="宋体" w:hAnsi="宋体" w:eastAsia="宋体" w:cs="宋体"/>
                <w:color w:val="auto"/>
                <w:sz w:val="24"/>
                <w:highlight w:val="none"/>
                <w:lang w:val="en-US" w:eastAsia="zh-CN"/>
              </w:rPr>
            </w:pPr>
          </w:p>
        </w:tc>
        <w:tc>
          <w:tcPr>
            <w:tcW w:w="7069" w:type="dxa"/>
            <w:noWrap w:val="0"/>
            <w:vAlign w:val="center"/>
          </w:tcPr>
          <w:p w14:paraId="2F577C73">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（2）报价文件：根据询价文件报价文件部分提供。</w:t>
            </w:r>
          </w:p>
        </w:tc>
      </w:tr>
      <w:tr w14:paraId="024D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69" w:type="dxa"/>
            <w:noWrap w:val="0"/>
            <w:vAlign w:val="center"/>
          </w:tcPr>
          <w:p w14:paraId="10E57346">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418" w:type="dxa"/>
            <w:noWrap w:val="0"/>
            <w:vAlign w:val="center"/>
          </w:tcPr>
          <w:p w14:paraId="7E9D45D0">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投标文件的组成</w:t>
            </w:r>
          </w:p>
        </w:tc>
        <w:tc>
          <w:tcPr>
            <w:tcW w:w="7069" w:type="dxa"/>
            <w:noWrap w:val="0"/>
            <w:vAlign w:val="center"/>
          </w:tcPr>
          <w:p w14:paraId="00FB7E28">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资格文件</w:t>
            </w:r>
            <w:r>
              <w:rPr>
                <w:rFonts w:hint="eastAsia" w:ascii="宋体" w:hAnsi="宋体" w:eastAsia="宋体" w:cs="宋体"/>
                <w:b/>
                <w:bCs/>
                <w:color w:val="auto"/>
                <w:sz w:val="24"/>
                <w:highlight w:val="none"/>
                <w:lang w:val="zh-CN" w:eastAsia="zh-CN"/>
              </w:rPr>
              <w:t>、报价文件正本各1份，副本各2份分别编制并单独装订成册。</w:t>
            </w:r>
          </w:p>
        </w:tc>
      </w:tr>
      <w:tr w14:paraId="7D84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9" w:type="dxa"/>
            <w:noWrap w:val="0"/>
            <w:vAlign w:val="center"/>
          </w:tcPr>
          <w:p w14:paraId="25DACCC0">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418" w:type="dxa"/>
            <w:noWrap w:val="0"/>
            <w:vAlign w:val="center"/>
          </w:tcPr>
          <w:p w14:paraId="4C04D2DF">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评标程序</w:t>
            </w:r>
          </w:p>
        </w:tc>
        <w:tc>
          <w:tcPr>
            <w:tcW w:w="7069" w:type="dxa"/>
            <w:noWrap w:val="0"/>
            <w:vAlign w:val="center"/>
          </w:tcPr>
          <w:p w14:paraId="17240934">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详见第四部分评标办法。</w:t>
            </w:r>
          </w:p>
        </w:tc>
      </w:tr>
      <w:tr w14:paraId="0910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69" w:type="dxa"/>
            <w:noWrap w:val="0"/>
            <w:vAlign w:val="center"/>
          </w:tcPr>
          <w:p w14:paraId="7F2DF138">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1418" w:type="dxa"/>
            <w:noWrap w:val="0"/>
            <w:vAlign w:val="center"/>
          </w:tcPr>
          <w:p w14:paraId="06D7DCAD">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投标有效期</w:t>
            </w:r>
          </w:p>
        </w:tc>
        <w:tc>
          <w:tcPr>
            <w:tcW w:w="7069" w:type="dxa"/>
            <w:noWrap w:val="0"/>
            <w:vAlign w:val="center"/>
          </w:tcPr>
          <w:p w14:paraId="274AAF63">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自投标截止日起90天。</w:t>
            </w:r>
          </w:p>
        </w:tc>
      </w:tr>
      <w:tr w14:paraId="3FC5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9" w:type="dxa"/>
            <w:noWrap w:val="0"/>
            <w:vAlign w:val="center"/>
          </w:tcPr>
          <w:p w14:paraId="63F84CB4">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1418" w:type="dxa"/>
            <w:noWrap w:val="0"/>
            <w:vAlign w:val="center"/>
          </w:tcPr>
          <w:p w14:paraId="313D27DB">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投标报价</w:t>
            </w:r>
          </w:p>
        </w:tc>
        <w:tc>
          <w:tcPr>
            <w:tcW w:w="7069" w:type="dxa"/>
            <w:noWrap w:val="0"/>
            <w:vAlign w:val="center"/>
          </w:tcPr>
          <w:p w14:paraId="65D81402">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本项目投标应以人民币报价；</w:t>
            </w:r>
          </w:p>
          <w:p w14:paraId="55C88B6C">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不论投标结果如何，投标单位均应自行承担所有与投标有关的全部费用。</w:t>
            </w:r>
          </w:p>
        </w:tc>
      </w:tr>
      <w:tr w14:paraId="2F98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9" w:type="dxa"/>
            <w:noWrap w:val="0"/>
            <w:vAlign w:val="center"/>
          </w:tcPr>
          <w:p w14:paraId="062C067D">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418" w:type="dxa"/>
            <w:noWrap w:val="0"/>
            <w:vAlign w:val="center"/>
          </w:tcPr>
          <w:p w14:paraId="7BEB2D5B">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踏勘现场</w:t>
            </w:r>
          </w:p>
        </w:tc>
        <w:tc>
          <w:tcPr>
            <w:tcW w:w="7069" w:type="dxa"/>
            <w:noWrap w:val="0"/>
            <w:vAlign w:val="center"/>
          </w:tcPr>
          <w:p w14:paraId="2CDA4350">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组织（详细内容）</w:t>
            </w:r>
          </w:p>
          <w:p w14:paraId="14347FED">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不组织</w:t>
            </w:r>
          </w:p>
        </w:tc>
      </w:tr>
      <w:tr w14:paraId="3E5FE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9" w:type="dxa"/>
            <w:noWrap w:val="0"/>
            <w:vAlign w:val="center"/>
          </w:tcPr>
          <w:p w14:paraId="742A9600">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1418" w:type="dxa"/>
            <w:noWrap w:val="0"/>
            <w:vAlign w:val="center"/>
          </w:tcPr>
          <w:p w14:paraId="4E261474">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样品</w:t>
            </w:r>
          </w:p>
        </w:tc>
        <w:tc>
          <w:tcPr>
            <w:tcW w:w="7069" w:type="dxa"/>
            <w:noWrap w:val="0"/>
            <w:vAlign w:val="center"/>
          </w:tcPr>
          <w:p w14:paraId="3D4E8A41">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提供，具体详见询价文件，中标单位提供的样品将由采购单位保管、封存并作为履约验收的参考</w:t>
            </w:r>
          </w:p>
          <w:p w14:paraId="404F8FFC">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不提供</w:t>
            </w:r>
          </w:p>
        </w:tc>
      </w:tr>
      <w:tr w14:paraId="145EE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9" w:type="dxa"/>
            <w:noWrap w:val="0"/>
            <w:vAlign w:val="center"/>
          </w:tcPr>
          <w:p w14:paraId="4F981C76">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418" w:type="dxa"/>
            <w:noWrap w:val="0"/>
            <w:vAlign w:val="center"/>
          </w:tcPr>
          <w:p w14:paraId="15AE26CB">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演示</w:t>
            </w:r>
          </w:p>
        </w:tc>
        <w:tc>
          <w:tcPr>
            <w:tcW w:w="7069" w:type="dxa"/>
            <w:noWrap w:val="0"/>
            <w:vAlign w:val="center"/>
          </w:tcPr>
          <w:p w14:paraId="4303C003">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要求，具体详见询价文件</w:t>
            </w:r>
          </w:p>
          <w:p w14:paraId="579AE023">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不要求</w:t>
            </w:r>
          </w:p>
        </w:tc>
      </w:tr>
      <w:tr w14:paraId="15DB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9" w:type="dxa"/>
            <w:noWrap w:val="0"/>
            <w:vAlign w:val="center"/>
          </w:tcPr>
          <w:p w14:paraId="0DD2A296">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418" w:type="dxa"/>
            <w:noWrap w:val="0"/>
            <w:vAlign w:val="center"/>
          </w:tcPr>
          <w:p w14:paraId="2400BD37">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评标办法</w:t>
            </w:r>
          </w:p>
        </w:tc>
        <w:tc>
          <w:tcPr>
            <w:tcW w:w="7069" w:type="dxa"/>
            <w:noWrap w:val="0"/>
            <w:vAlign w:val="center"/>
          </w:tcPr>
          <w:p w14:paraId="631438FE">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综合评分法</w:t>
            </w:r>
          </w:p>
          <w:p w14:paraId="71207306">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☑最低价评标价法</w:t>
            </w:r>
          </w:p>
        </w:tc>
      </w:tr>
      <w:tr w14:paraId="581B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9" w:type="dxa"/>
            <w:noWrap w:val="0"/>
            <w:vAlign w:val="center"/>
          </w:tcPr>
          <w:p w14:paraId="39BC6C17">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2</w:t>
            </w:r>
          </w:p>
        </w:tc>
        <w:tc>
          <w:tcPr>
            <w:tcW w:w="1418" w:type="dxa"/>
            <w:noWrap w:val="0"/>
            <w:vAlign w:val="center"/>
          </w:tcPr>
          <w:p w14:paraId="37EC21F9">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节能产品</w:t>
            </w:r>
          </w:p>
        </w:tc>
        <w:tc>
          <w:tcPr>
            <w:tcW w:w="7069" w:type="dxa"/>
            <w:noWrap w:val="0"/>
            <w:vAlign w:val="center"/>
          </w:tcPr>
          <w:p w14:paraId="449C3070">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强制采购节能产品</w:t>
            </w:r>
          </w:p>
          <w:p w14:paraId="02FB9098">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优先采购节能产品</w:t>
            </w:r>
          </w:p>
          <w:p w14:paraId="35C08FC8">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不适用</w:t>
            </w:r>
          </w:p>
        </w:tc>
      </w:tr>
      <w:tr w14:paraId="1E6D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9" w:type="dxa"/>
            <w:noWrap w:val="0"/>
            <w:vAlign w:val="center"/>
          </w:tcPr>
          <w:p w14:paraId="16F958AB">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3</w:t>
            </w:r>
          </w:p>
        </w:tc>
        <w:tc>
          <w:tcPr>
            <w:tcW w:w="1418" w:type="dxa"/>
            <w:noWrap w:val="0"/>
            <w:vAlign w:val="center"/>
          </w:tcPr>
          <w:p w14:paraId="4835C043">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合同签订</w:t>
            </w:r>
          </w:p>
        </w:tc>
        <w:tc>
          <w:tcPr>
            <w:tcW w:w="7069" w:type="dxa"/>
            <w:noWrap w:val="0"/>
            <w:vAlign w:val="center"/>
          </w:tcPr>
          <w:p w14:paraId="02A1CCD2">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单位与中标单位应当在《中标通知书》发出之日起30日内签订采购合同。同时，采购代理机构对合同内容进行审查，如发现与采购结果和投标承诺内容不一致的，应予以纠正。中标单位拖延、拒签合同的，将被取消中标资格。</w:t>
            </w:r>
          </w:p>
        </w:tc>
      </w:tr>
      <w:tr w14:paraId="273EF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9" w:type="dxa"/>
            <w:noWrap w:val="0"/>
            <w:vAlign w:val="center"/>
          </w:tcPr>
          <w:p w14:paraId="1426B153">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418" w:type="dxa"/>
            <w:noWrap w:val="0"/>
            <w:vAlign w:val="center"/>
          </w:tcPr>
          <w:p w14:paraId="30530361">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履约保证金</w:t>
            </w:r>
          </w:p>
        </w:tc>
        <w:tc>
          <w:tcPr>
            <w:tcW w:w="7069" w:type="dxa"/>
            <w:noWrap w:val="0"/>
            <w:vAlign w:val="center"/>
          </w:tcPr>
          <w:p w14:paraId="7D11C51E">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无</w:t>
            </w:r>
          </w:p>
        </w:tc>
      </w:tr>
      <w:tr w14:paraId="2906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9" w:type="dxa"/>
            <w:noWrap w:val="0"/>
            <w:vAlign w:val="center"/>
          </w:tcPr>
          <w:p w14:paraId="6AB01CFD">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5</w:t>
            </w:r>
          </w:p>
        </w:tc>
        <w:tc>
          <w:tcPr>
            <w:tcW w:w="1418" w:type="dxa"/>
            <w:noWrap w:val="0"/>
            <w:vAlign w:val="center"/>
          </w:tcPr>
          <w:p w14:paraId="3791BF07">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代理服务费</w:t>
            </w:r>
          </w:p>
        </w:tc>
        <w:tc>
          <w:tcPr>
            <w:tcW w:w="7069" w:type="dxa"/>
            <w:noWrap w:val="0"/>
            <w:vAlign w:val="center"/>
          </w:tcPr>
          <w:p w14:paraId="7801B73C">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本次招标代理费为1000元，由中标单位支付。</w:t>
            </w:r>
          </w:p>
          <w:p w14:paraId="6F358B7C">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采购代理服务费由中标单位在收到中标通知书时以人民币方式向采购代理机构支付。</w:t>
            </w:r>
          </w:p>
        </w:tc>
      </w:tr>
      <w:tr w14:paraId="5C9C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69" w:type="dxa"/>
            <w:noWrap w:val="0"/>
            <w:vAlign w:val="center"/>
          </w:tcPr>
          <w:p w14:paraId="6E5FC76D">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6</w:t>
            </w:r>
          </w:p>
        </w:tc>
        <w:tc>
          <w:tcPr>
            <w:tcW w:w="1418" w:type="dxa"/>
            <w:noWrap w:val="0"/>
            <w:vAlign w:val="center"/>
          </w:tcPr>
          <w:p w14:paraId="4FCC3F0A">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解释权</w:t>
            </w:r>
          </w:p>
        </w:tc>
        <w:tc>
          <w:tcPr>
            <w:tcW w:w="7069" w:type="dxa"/>
            <w:noWrap w:val="0"/>
            <w:vAlign w:val="center"/>
          </w:tcPr>
          <w:p w14:paraId="15E8C799">
            <w:pPr>
              <w:keepNext w:val="0"/>
              <w:keepLines w:val="0"/>
              <w:pageBreakBefore w:val="0"/>
              <w:widowControl w:val="0"/>
              <w:kinsoku/>
              <w:wordWrap/>
              <w:overflowPunct/>
              <w:topLinePunct w:val="0"/>
              <w:autoSpaceDE/>
              <w:autoSpaceDN/>
              <w:bidi w:val="0"/>
              <w:adjustRightInd w:val="0"/>
              <w:snapToGrid/>
              <w:spacing w:before="157" w:beforeLines="50"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本询价文件的解释权属于采购单位。</w:t>
            </w:r>
          </w:p>
        </w:tc>
      </w:tr>
    </w:tbl>
    <w:p w14:paraId="4CE242BC">
      <w:pPr>
        <w:spacing w:line="360" w:lineRule="auto"/>
        <w:rPr>
          <w:rFonts w:hint="eastAsia" w:ascii="宋体" w:hAnsi="宋体" w:eastAsia="宋体" w:cs="宋体"/>
          <w:color w:val="auto"/>
          <w:sz w:val="24"/>
          <w:highlight w:val="none"/>
          <w:lang w:val="en-US" w:eastAsia="zh-CN"/>
        </w:rPr>
      </w:pPr>
    </w:p>
    <w:p w14:paraId="454737F8">
      <w:pPr>
        <w:pStyle w:val="27"/>
        <w:rPr>
          <w:rFonts w:hint="eastAsia" w:ascii="宋体" w:hAnsi="宋体" w:eastAsia="宋体" w:cs="宋体"/>
          <w:color w:val="auto"/>
          <w:sz w:val="24"/>
          <w:highlight w:val="none"/>
          <w:lang w:val="en-US" w:eastAsia="zh-CN"/>
        </w:rPr>
      </w:pPr>
    </w:p>
    <w:p w14:paraId="3437DBEF">
      <w:pPr>
        <w:pStyle w:val="28"/>
        <w:rPr>
          <w:rFonts w:hint="eastAsia" w:ascii="宋体" w:hAnsi="宋体" w:eastAsia="宋体" w:cs="宋体"/>
          <w:color w:val="auto"/>
          <w:sz w:val="24"/>
          <w:highlight w:val="none"/>
          <w:lang w:val="en-US" w:eastAsia="zh-CN"/>
        </w:rPr>
      </w:pPr>
    </w:p>
    <w:p w14:paraId="0E1619E3">
      <w:pPr>
        <w:pStyle w:val="29"/>
        <w:rPr>
          <w:rFonts w:hint="eastAsia" w:ascii="宋体" w:hAnsi="宋体" w:eastAsia="宋体" w:cs="宋体"/>
          <w:color w:val="auto"/>
          <w:sz w:val="24"/>
          <w:highlight w:val="none"/>
          <w:lang w:val="en-US" w:eastAsia="zh-CN"/>
        </w:rPr>
      </w:pPr>
    </w:p>
    <w:p w14:paraId="7DEAB464">
      <w:pPr>
        <w:rPr>
          <w:rFonts w:hint="eastAsia" w:ascii="宋体" w:hAnsi="宋体" w:eastAsia="宋体" w:cs="宋体"/>
          <w:color w:val="auto"/>
          <w:sz w:val="24"/>
          <w:highlight w:val="none"/>
          <w:lang w:val="en-US" w:eastAsia="zh-CN"/>
        </w:rPr>
      </w:pPr>
    </w:p>
    <w:p w14:paraId="014B0253">
      <w:pPr>
        <w:pStyle w:val="27"/>
        <w:rPr>
          <w:rFonts w:hint="eastAsia" w:ascii="宋体" w:hAnsi="宋体" w:eastAsia="宋体" w:cs="宋体"/>
          <w:color w:val="auto"/>
          <w:sz w:val="24"/>
          <w:highlight w:val="none"/>
          <w:lang w:val="en-US" w:eastAsia="zh-CN"/>
        </w:rPr>
      </w:pPr>
    </w:p>
    <w:p w14:paraId="49C01AB1">
      <w:pPr>
        <w:pStyle w:val="28"/>
        <w:rPr>
          <w:rFonts w:hint="eastAsia" w:ascii="宋体" w:hAnsi="宋体" w:eastAsia="宋体" w:cs="宋体"/>
          <w:color w:val="auto"/>
          <w:sz w:val="24"/>
          <w:highlight w:val="none"/>
          <w:lang w:val="en-US" w:eastAsia="zh-CN"/>
        </w:rPr>
      </w:pPr>
    </w:p>
    <w:p w14:paraId="405FBF9E">
      <w:pPr>
        <w:pStyle w:val="29"/>
        <w:rPr>
          <w:rFonts w:hint="eastAsia" w:ascii="宋体" w:hAnsi="宋体" w:eastAsia="宋体" w:cs="宋体"/>
          <w:color w:val="auto"/>
          <w:sz w:val="24"/>
          <w:highlight w:val="none"/>
          <w:lang w:val="en-US" w:eastAsia="zh-CN"/>
        </w:rPr>
      </w:pPr>
    </w:p>
    <w:p w14:paraId="64D1D9C3">
      <w:pPr>
        <w:rPr>
          <w:rFonts w:hint="eastAsia" w:ascii="宋体" w:hAnsi="宋体" w:eastAsia="宋体" w:cs="宋体"/>
          <w:color w:val="auto"/>
          <w:sz w:val="24"/>
          <w:highlight w:val="none"/>
          <w:lang w:val="en-US" w:eastAsia="zh-CN"/>
        </w:rPr>
      </w:pPr>
    </w:p>
    <w:p w14:paraId="58AFBDEE">
      <w:pPr>
        <w:pStyle w:val="27"/>
        <w:rPr>
          <w:rFonts w:hint="eastAsia" w:ascii="宋体" w:hAnsi="宋体" w:eastAsia="宋体" w:cs="宋体"/>
          <w:color w:val="auto"/>
          <w:sz w:val="24"/>
          <w:highlight w:val="none"/>
          <w:lang w:val="en-US" w:eastAsia="zh-CN"/>
        </w:rPr>
      </w:pPr>
    </w:p>
    <w:p w14:paraId="5A6F793F">
      <w:pPr>
        <w:pStyle w:val="28"/>
        <w:rPr>
          <w:rFonts w:hint="eastAsia" w:ascii="宋体" w:hAnsi="宋体" w:eastAsia="宋体" w:cs="宋体"/>
          <w:color w:val="auto"/>
          <w:sz w:val="24"/>
          <w:highlight w:val="none"/>
          <w:lang w:val="en-US" w:eastAsia="zh-CN"/>
        </w:rPr>
      </w:pPr>
    </w:p>
    <w:p w14:paraId="491CC5F5">
      <w:pPr>
        <w:pStyle w:val="29"/>
        <w:rPr>
          <w:rFonts w:hint="eastAsia" w:ascii="宋体" w:hAnsi="宋体" w:eastAsia="宋体" w:cs="宋体"/>
          <w:color w:val="auto"/>
          <w:sz w:val="24"/>
          <w:highlight w:val="none"/>
          <w:lang w:val="en-US" w:eastAsia="zh-CN"/>
        </w:rPr>
      </w:pPr>
    </w:p>
    <w:p w14:paraId="33A73C98">
      <w:pPr>
        <w:rPr>
          <w:rFonts w:hint="eastAsia" w:ascii="宋体" w:hAnsi="宋体" w:eastAsia="宋体" w:cs="宋体"/>
          <w:color w:val="auto"/>
          <w:sz w:val="24"/>
          <w:highlight w:val="none"/>
          <w:lang w:val="en-US" w:eastAsia="zh-CN"/>
        </w:rPr>
      </w:pPr>
    </w:p>
    <w:p w14:paraId="64386FB6">
      <w:pPr>
        <w:pStyle w:val="27"/>
        <w:rPr>
          <w:rFonts w:hint="eastAsia" w:ascii="宋体" w:hAnsi="宋体" w:eastAsia="宋体" w:cs="宋体"/>
          <w:color w:val="auto"/>
          <w:sz w:val="24"/>
          <w:highlight w:val="none"/>
          <w:lang w:val="en-US" w:eastAsia="zh-CN"/>
        </w:rPr>
      </w:pPr>
    </w:p>
    <w:p w14:paraId="1A1DEEE4">
      <w:pPr>
        <w:pStyle w:val="28"/>
        <w:ind w:left="0" w:leftChars="0" w:firstLine="0" w:firstLineChars="0"/>
        <w:rPr>
          <w:rFonts w:hint="eastAsia"/>
          <w:lang w:val="en-US" w:eastAsia="zh-CN"/>
        </w:rPr>
      </w:pPr>
    </w:p>
    <w:bookmarkEnd w:id="4"/>
    <w:p w14:paraId="1B66DBFC">
      <w:pPr>
        <w:adjustRightInd/>
        <w:spacing w:line="360" w:lineRule="auto"/>
        <w:ind w:firstLine="3845" w:firstLineChars="1197"/>
        <w:outlineLvl w:val="0"/>
        <w:rPr>
          <w:rFonts w:hint="eastAsia" w:ascii="宋体" w:hAnsi="宋体" w:eastAsia="宋体" w:cs="宋体"/>
          <w:b/>
          <w:sz w:val="32"/>
          <w:szCs w:val="20"/>
        </w:rPr>
      </w:pPr>
      <w:bookmarkStart w:id="8" w:name="第三部分"/>
      <w:bookmarkStart w:id="9" w:name="_Toc164416483"/>
      <w:r>
        <w:rPr>
          <w:rFonts w:hint="eastAsia" w:ascii="宋体" w:hAnsi="宋体" w:eastAsia="宋体" w:cs="宋体"/>
          <w:b/>
          <w:sz w:val="32"/>
          <w:szCs w:val="20"/>
        </w:rPr>
        <w:t>一、总则</w:t>
      </w:r>
    </w:p>
    <w:p w14:paraId="340B2F61">
      <w:pPr>
        <w:snapToGrid w:val="0"/>
        <w:spacing w:line="360" w:lineRule="auto"/>
        <w:jc w:val="left"/>
        <w:outlineLvl w:val="1"/>
        <w:rPr>
          <w:rFonts w:hint="eastAsia" w:ascii="宋体" w:hAnsi="宋体" w:eastAsia="宋体" w:cs="宋体"/>
          <w:b/>
          <w:sz w:val="24"/>
        </w:rPr>
      </w:pPr>
      <w:r>
        <w:rPr>
          <w:rFonts w:hint="eastAsia" w:ascii="宋体" w:hAnsi="宋体" w:eastAsia="宋体" w:cs="宋体"/>
          <w:b/>
          <w:sz w:val="24"/>
        </w:rPr>
        <w:t>1. 适用范围</w:t>
      </w:r>
    </w:p>
    <w:p w14:paraId="226D95F5">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w:t>
      </w:r>
      <w:r>
        <w:rPr>
          <w:rFonts w:hint="eastAsia" w:ascii="宋体" w:hAnsi="宋体" w:cs="宋体"/>
          <w:sz w:val="24"/>
          <w:lang w:eastAsia="zh-CN"/>
        </w:rPr>
        <w:t>法律法规</w:t>
      </w:r>
      <w:r>
        <w:rPr>
          <w:rFonts w:hint="eastAsia" w:ascii="宋体" w:hAnsi="宋体" w:eastAsia="宋体" w:cs="宋体"/>
          <w:sz w:val="24"/>
        </w:rPr>
        <w:t>另有规定的，从其规定）。</w:t>
      </w:r>
    </w:p>
    <w:p w14:paraId="4126B703">
      <w:pPr>
        <w:adjustRightInd/>
        <w:spacing w:line="360" w:lineRule="auto"/>
        <w:outlineLvl w:val="0"/>
        <w:rPr>
          <w:rFonts w:hint="eastAsia" w:ascii="宋体" w:hAnsi="宋体" w:eastAsia="宋体" w:cs="宋体"/>
          <w:b/>
          <w:color w:val="auto"/>
          <w:sz w:val="24"/>
        </w:rPr>
      </w:pPr>
      <w:r>
        <w:rPr>
          <w:rFonts w:hint="eastAsia" w:ascii="宋体" w:hAnsi="宋体" w:eastAsia="宋体" w:cs="宋体"/>
          <w:b/>
          <w:sz w:val="24"/>
        </w:rPr>
        <w:t>2.定义</w:t>
      </w:r>
    </w:p>
    <w:p w14:paraId="162CBDC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w:t>
      </w:r>
      <w:r>
        <w:rPr>
          <w:rFonts w:hint="eastAsia" w:ascii="宋体" w:hAnsi="宋体" w:cs="宋体"/>
          <w:color w:val="auto"/>
          <w:sz w:val="24"/>
          <w:lang w:eastAsia="zh-CN"/>
        </w:rPr>
        <w:t>采购单位</w:t>
      </w:r>
      <w:r>
        <w:rPr>
          <w:rFonts w:hint="eastAsia" w:ascii="宋体" w:hAnsi="宋体" w:eastAsia="宋体" w:cs="宋体"/>
          <w:color w:val="auto"/>
          <w:sz w:val="24"/>
        </w:rPr>
        <w:t>”系指</w:t>
      </w:r>
      <w:r>
        <w:rPr>
          <w:rFonts w:hint="eastAsia" w:ascii="宋体" w:hAnsi="宋体" w:cs="宋体"/>
          <w:color w:val="auto"/>
          <w:sz w:val="24"/>
          <w:lang w:eastAsia="zh-CN"/>
        </w:rPr>
        <w:t>桐庐县青少年宫</w:t>
      </w:r>
      <w:r>
        <w:rPr>
          <w:rFonts w:hint="eastAsia" w:ascii="宋体" w:hAnsi="宋体" w:eastAsia="宋体" w:cs="宋体"/>
          <w:color w:val="auto"/>
          <w:sz w:val="24"/>
        </w:rPr>
        <w:t>。</w:t>
      </w:r>
    </w:p>
    <w:p w14:paraId="29573ED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“采购机构”系指杭州全咨项目管理有限公司。</w:t>
      </w:r>
    </w:p>
    <w:p w14:paraId="3C4DE483">
      <w:pPr>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rPr>
        <w:t>2.3 “</w:t>
      </w:r>
      <w:r>
        <w:rPr>
          <w:rFonts w:hint="eastAsia" w:ascii="宋体" w:hAnsi="宋体" w:cs="宋体"/>
          <w:color w:val="auto"/>
          <w:sz w:val="24"/>
          <w:lang w:eastAsia="zh-CN"/>
        </w:rPr>
        <w:t>投标单位</w:t>
      </w:r>
      <w:r>
        <w:rPr>
          <w:rFonts w:hint="eastAsia" w:ascii="宋体" w:hAnsi="宋体" w:eastAsia="宋体" w:cs="宋体"/>
          <w:color w:val="auto"/>
          <w:sz w:val="24"/>
        </w:rPr>
        <w:t>”系指是指响应招标、参加投标竞争</w:t>
      </w:r>
      <w:r>
        <w:rPr>
          <w:rFonts w:hint="eastAsia" w:ascii="宋体" w:hAnsi="宋体" w:eastAsia="宋体" w:cs="宋体"/>
          <w:sz w:val="24"/>
        </w:rPr>
        <w:t>的法人</w:t>
      </w:r>
      <w:r>
        <w:rPr>
          <w:rFonts w:hint="eastAsia" w:ascii="宋体" w:hAnsi="宋体" w:cs="宋体"/>
          <w:sz w:val="24"/>
          <w:lang w:eastAsia="zh-CN"/>
        </w:rPr>
        <w:t>或</w:t>
      </w:r>
      <w:r>
        <w:rPr>
          <w:rFonts w:hint="eastAsia" w:ascii="宋体" w:hAnsi="宋体" w:eastAsia="宋体" w:cs="宋体"/>
          <w:sz w:val="24"/>
        </w:rPr>
        <w:t>其他组织。</w:t>
      </w:r>
    </w:p>
    <w:p w14:paraId="17B0BA59">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w:t>
      </w:r>
    </w:p>
    <w:p w14:paraId="04D3FDE3">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 xml:space="preserve"> “▲” 系指实质性要求条款</w:t>
      </w:r>
      <w:r>
        <w:rPr>
          <w:rFonts w:hint="eastAsia" w:ascii="宋体" w:hAnsi="宋体" w:eastAsia="宋体" w:cs="宋体"/>
          <w:sz w:val="24"/>
          <w:lang w:eastAsia="zh-CN"/>
        </w:rPr>
        <w:t>。</w:t>
      </w:r>
    </w:p>
    <w:p w14:paraId="429A0A03">
      <w:pPr>
        <w:spacing w:line="360" w:lineRule="auto"/>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采购项目需要落实的采购政策</w:t>
      </w:r>
    </w:p>
    <w:p w14:paraId="28F35E0F">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1</w:t>
      </w:r>
      <w:r>
        <w:rPr>
          <w:rFonts w:hint="eastAsia" w:ascii="宋体" w:hAnsi="宋体" w:eastAsia="宋体" w:cs="宋体"/>
          <w:sz w:val="24"/>
        </w:rPr>
        <w:t xml:space="preserve"> 支持绿色发展</w:t>
      </w:r>
    </w:p>
    <w:p w14:paraId="3C434AB7">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支持中小企业发展</w:t>
      </w:r>
    </w:p>
    <w:p w14:paraId="0B2EA275">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657E990C">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符合中小企业划分标准的个体工商户，在采购活动中视同中小企业。</w:t>
      </w:r>
    </w:p>
    <w:p w14:paraId="73B6C7B8">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w:t>
      </w:r>
      <w:r>
        <w:rPr>
          <w:rFonts w:hint="eastAsia" w:ascii="宋体" w:hAnsi="宋体" w:eastAsia="宋体" w:cs="宋体"/>
          <w:bCs/>
          <w:sz w:val="24"/>
          <w:lang w:val="en-US" w:eastAsia="zh-CN"/>
        </w:rPr>
        <w:t>2</w:t>
      </w:r>
      <w:r>
        <w:rPr>
          <w:rFonts w:hint="eastAsia" w:ascii="宋体" w:hAnsi="宋体" w:eastAsia="宋体" w:cs="宋体"/>
          <w:bCs/>
          <w:sz w:val="24"/>
        </w:rPr>
        <w:t>.2</w:t>
      </w:r>
      <w:r>
        <w:rPr>
          <w:rFonts w:hint="eastAsia" w:ascii="宋体" w:hAnsi="宋体" w:eastAsia="宋体" w:cs="宋体"/>
          <w:kern w:val="0"/>
          <w:sz w:val="24"/>
        </w:rPr>
        <w:t>在采购活动中，</w:t>
      </w:r>
      <w:r>
        <w:rPr>
          <w:rFonts w:hint="eastAsia" w:ascii="宋体" w:hAnsi="宋体" w:cs="宋体"/>
          <w:kern w:val="0"/>
          <w:sz w:val="24"/>
          <w:lang w:eastAsia="zh-CN"/>
        </w:rPr>
        <w:t>投标单位</w:t>
      </w:r>
      <w:r>
        <w:rPr>
          <w:rFonts w:hint="eastAsia" w:ascii="宋体" w:hAnsi="宋体" w:eastAsia="宋体" w:cs="宋体"/>
          <w:kern w:val="0"/>
          <w:sz w:val="24"/>
        </w:rPr>
        <w:t>提供的</w:t>
      </w:r>
      <w:r>
        <w:rPr>
          <w:rFonts w:hint="eastAsia" w:ascii="宋体" w:hAnsi="宋体" w:eastAsia="宋体" w:cs="宋体"/>
          <w:kern w:val="0"/>
          <w:sz w:val="24"/>
          <w:lang w:eastAsia="zh-CN"/>
        </w:rPr>
        <w:t>服务</w:t>
      </w:r>
      <w:r>
        <w:rPr>
          <w:rFonts w:hint="eastAsia" w:ascii="宋体" w:hAnsi="宋体" w:eastAsia="宋体" w:cs="宋体"/>
          <w:kern w:val="0"/>
          <w:sz w:val="24"/>
        </w:rPr>
        <w:t>符合下列情形的，享受中小企业扶持政策：</w:t>
      </w:r>
    </w:p>
    <w:p w14:paraId="4C664906">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val="en-US" w:eastAsia="zh-CN"/>
        </w:rPr>
        <w:t>2</w:t>
      </w:r>
      <w:r>
        <w:rPr>
          <w:rFonts w:hint="eastAsia" w:ascii="宋体" w:hAnsi="宋体" w:eastAsia="宋体" w:cs="宋体"/>
          <w:kern w:val="0"/>
          <w:sz w:val="24"/>
        </w:rPr>
        <w:t>.2.1在服务采购项目中，服务由中小企业承接，即提供服务的人员为中小企业依照《中华人民共和国劳动合同法》订立劳动合同的从业人员。</w:t>
      </w:r>
    </w:p>
    <w:p w14:paraId="6596B0D5">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.3对于未预留份额专门面向中小企业的采购服务项目，以及预留份额采购货物或服务项目中的非预留部分标项，对小型和微型企业的投标报价给予10%的扣除，用扣除后的价格参与评审。</w:t>
      </w:r>
    </w:p>
    <w:p w14:paraId="2C362963">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.4符合《关于促进残疾人就业政府采购政策的通知》（财库〔2017〕141号）规定的条件并提供《残疾人福利性单位声明函》（附件1）的残疾人福利性单位视同小型、微型企业；</w:t>
      </w:r>
    </w:p>
    <w:p w14:paraId="6D81B7D0">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4E65FB14">
      <w:pPr>
        <w:spacing w:line="360" w:lineRule="auto"/>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.6可享受中小企业扶持政策的</w:t>
      </w:r>
      <w:r>
        <w:rPr>
          <w:rFonts w:hint="eastAsia" w:ascii="宋体" w:hAnsi="宋体" w:cs="宋体"/>
          <w:sz w:val="24"/>
          <w:lang w:eastAsia="zh-CN"/>
        </w:rPr>
        <w:t>投标单位</w:t>
      </w:r>
      <w:r>
        <w:rPr>
          <w:rFonts w:hint="eastAsia" w:ascii="宋体" w:hAnsi="宋体" w:eastAsia="宋体" w:cs="宋体"/>
          <w:sz w:val="24"/>
        </w:rPr>
        <w:t>应按照招标文件格式要求提供《中小企业声明函》，</w:t>
      </w:r>
      <w:r>
        <w:rPr>
          <w:rFonts w:hint="eastAsia" w:ascii="宋体" w:hAnsi="宋体" w:cs="宋体"/>
          <w:sz w:val="24"/>
          <w:lang w:eastAsia="zh-CN"/>
        </w:rPr>
        <w:t>投标单位</w:t>
      </w:r>
      <w:r>
        <w:rPr>
          <w:rFonts w:hint="eastAsia" w:ascii="宋体" w:hAnsi="宋体" w:eastAsia="宋体" w:cs="宋体"/>
          <w:sz w:val="24"/>
        </w:rPr>
        <w:t>提供的《中小企业声明函》与实际情况不符的，不享受中小企业扶持政策。声明内容不实的，属于提供虚假材料谋取中标、成交的，依法承担法律责任。</w:t>
      </w:r>
    </w:p>
    <w:p w14:paraId="7CF86A00">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.7中小企业享受扶持政策获得政府采购合同的，小微企业不得将合同分包给大中型企业，中型企业不得将合同分包给大型企业。</w:t>
      </w:r>
      <w:r>
        <w:rPr>
          <w:rFonts w:hint="eastAsia" w:ascii="宋体" w:hAnsi="宋体" w:eastAsia="宋体" w:cs="宋体"/>
          <w:sz w:val="24"/>
        </w:rPr>
        <w:cr/>
      </w:r>
      <w:r>
        <w:rPr>
          <w:rFonts w:hint="eastAsia" w:ascii="宋体" w:hAnsi="宋体" w:eastAsia="宋体" w:cs="宋体"/>
          <w:b/>
          <w:sz w:val="24"/>
        </w:rPr>
        <w:t>4. 询问、质疑、投诉</w:t>
      </w:r>
    </w:p>
    <w:p w14:paraId="588EC24C">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4.1供应商询问</w:t>
      </w:r>
    </w:p>
    <w:p w14:paraId="03BC6511">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供应商对采购活动事项有疑问的，可以提出询问，</w:t>
      </w:r>
      <w:r>
        <w:rPr>
          <w:rFonts w:hint="eastAsia" w:ascii="宋体" w:hAnsi="宋体" w:cs="宋体"/>
          <w:kern w:val="0"/>
          <w:sz w:val="24"/>
          <w:lang w:val="zh-CN"/>
        </w:rPr>
        <w:t>采购单位</w:t>
      </w:r>
      <w:r>
        <w:rPr>
          <w:rFonts w:hint="eastAsia" w:ascii="宋体" w:hAnsi="宋体" w:eastAsia="宋体" w:cs="宋体"/>
          <w:kern w:val="0"/>
          <w:sz w:val="24"/>
          <w:lang w:val="zh-CN"/>
        </w:rPr>
        <w:t>或者采购代理机构应当在3个工作日内对供应商依法提出的询问作出答复，但答复的内容不得涉及商业秘密。供应商提出的询问超出</w:t>
      </w:r>
      <w:r>
        <w:rPr>
          <w:rFonts w:hint="eastAsia" w:ascii="宋体" w:hAnsi="宋体" w:cs="宋体"/>
          <w:kern w:val="0"/>
          <w:sz w:val="24"/>
          <w:lang w:val="zh-CN"/>
        </w:rPr>
        <w:t>采购单位</w:t>
      </w:r>
      <w:r>
        <w:rPr>
          <w:rFonts w:hint="eastAsia" w:ascii="宋体" w:hAnsi="宋体" w:eastAsia="宋体" w:cs="宋体"/>
          <w:kern w:val="0"/>
          <w:sz w:val="24"/>
          <w:lang w:val="zh-CN"/>
        </w:rPr>
        <w:t>对采购代理机构委托授权范围的，采购代理机构应当告知供应商向</w:t>
      </w:r>
      <w:r>
        <w:rPr>
          <w:rFonts w:hint="eastAsia" w:ascii="宋体" w:hAnsi="宋体" w:cs="宋体"/>
          <w:kern w:val="0"/>
          <w:sz w:val="24"/>
          <w:lang w:val="zh-CN"/>
        </w:rPr>
        <w:t>采购单位</w:t>
      </w:r>
      <w:r>
        <w:rPr>
          <w:rFonts w:hint="eastAsia" w:ascii="宋体" w:hAnsi="宋体" w:eastAsia="宋体" w:cs="宋体"/>
          <w:kern w:val="0"/>
          <w:sz w:val="24"/>
          <w:lang w:val="zh-CN"/>
        </w:rPr>
        <w:t>提出。</w:t>
      </w:r>
    </w:p>
    <w:p w14:paraId="53184C46">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4.2供应商质疑</w:t>
      </w:r>
    </w:p>
    <w:p w14:paraId="68DC762A">
      <w:pPr>
        <w:pStyle w:val="38"/>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5B200F7D">
      <w:pPr>
        <w:pStyle w:val="38"/>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4.2</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w:t>
      </w:r>
      <w:r>
        <w:rPr>
          <w:rFonts w:hint="eastAsia" w:hAnsi="宋体" w:cs="宋体"/>
          <w:sz w:val="24"/>
          <w:lang w:eastAsia="zh-CN"/>
        </w:rPr>
        <w:t>采购单位</w:t>
      </w:r>
      <w:r>
        <w:rPr>
          <w:rFonts w:hint="eastAsia" w:ascii="宋体" w:hAnsi="宋体" w:eastAsia="宋体" w:cs="宋体"/>
          <w:sz w:val="24"/>
        </w:rPr>
        <w:t>或者采购机构提出质疑，否则，</w:t>
      </w:r>
      <w:r>
        <w:rPr>
          <w:rFonts w:hint="eastAsia" w:hAnsi="宋体" w:cs="宋体"/>
          <w:sz w:val="24"/>
          <w:lang w:eastAsia="zh-CN"/>
        </w:rPr>
        <w:t>采购单位</w:t>
      </w:r>
      <w:r>
        <w:rPr>
          <w:rFonts w:hint="eastAsia" w:ascii="宋体" w:hAnsi="宋体" w:eastAsia="宋体" w:cs="宋体"/>
          <w:sz w:val="24"/>
        </w:rPr>
        <w:t>或者采购机构不予受理：</w:t>
      </w:r>
    </w:p>
    <w:p w14:paraId="205C3EBB">
      <w:pPr>
        <w:pStyle w:val="18"/>
        <w:spacing w:line="360" w:lineRule="auto"/>
        <w:ind w:left="0" w:leftChars="0"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4.2.2.1对招标文件提出质疑的，质疑期限为供应商获得招标文件之日或者招标文件公告期限届满之日起计算。</w:t>
      </w:r>
    </w:p>
    <w:p w14:paraId="6CEEB8F7">
      <w:pPr>
        <w:pStyle w:val="38"/>
        <w:spacing w:line="360" w:lineRule="auto"/>
        <w:ind w:firstLine="480" w:firstLineChars="200"/>
        <w:rPr>
          <w:rFonts w:hint="eastAsia" w:ascii="宋体" w:hAnsi="宋体" w:eastAsia="宋体" w:cs="宋体"/>
          <w:sz w:val="24"/>
        </w:rPr>
      </w:pPr>
      <w:r>
        <w:rPr>
          <w:rFonts w:hint="eastAsia" w:ascii="宋体" w:hAnsi="宋体" w:eastAsia="宋体" w:cs="宋体"/>
          <w:sz w:val="24"/>
        </w:rPr>
        <w:t>4.2.2.2对采购过程提出质疑的，质疑期限为各采购程序环节结束之日起计算。对同一采购程序环节的质疑，供应商须一次性提出。</w:t>
      </w:r>
    </w:p>
    <w:p w14:paraId="29DD1B9E">
      <w:pPr>
        <w:pStyle w:val="38"/>
        <w:spacing w:line="360" w:lineRule="auto"/>
        <w:ind w:firstLine="480" w:firstLineChars="200"/>
        <w:rPr>
          <w:rFonts w:hint="eastAsia" w:ascii="宋体" w:hAnsi="宋体" w:eastAsia="宋体" w:cs="宋体"/>
          <w:sz w:val="24"/>
        </w:rPr>
      </w:pPr>
      <w:r>
        <w:rPr>
          <w:rFonts w:hint="eastAsia" w:ascii="宋体" w:hAnsi="宋体" w:eastAsia="宋体" w:cs="宋体"/>
          <w:sz w:val="24"/>
        </w:rPr>
        <w:t>4.2.2.3对采购结果提出质疑的，质疑期限自采购结果公告期限届满之日起计算。</w:t>
      </w:r>
    </w:p>
    <w:p w14:paraId="77A6B0E7">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w:t>
      </w:r>
      <w:r>
        <w:rPr>
          <w:rFonts w:hint="eastAsia" w:ascii="宋体" w:hAnsi="宋体" w:eastAsia="宋体" w:cs="宋体"/>
          <w:sz w:val="24"/>
        </w:rPr>
        <w:t>供应商提出质疑应当提交质疑函和必要的证明材料。质疑函应当包括下列内容：</w:t>
      </w:r>
    </w:p>
    <w:p w14:paraId="6FFF1FDB">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4.2.3.1供应商的姓名或者名称、地址、邮编、联系人及联系电话；</w:t>
      </w:r>
    </w:p>
    <w:p w14:paraId="5CD90A6A">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4.2.3.2质疑项目的名称、编号；</w:t>
      </w:r>
    </w:p>
    <w:p w14:paraId="5D14915D">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4.2.3.3具体、明确的质疑事项和与质疑事项相关的请求；</w:t>
      </w:r>
    </w:p>
    <w:p w14:paraId="3F9BC918">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4.2.3.4事实依据；</w:t>
      </w:r>
    </w:p>
    <w:p w14:paraId="703108D5">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4.2.3.5必要的法律依据；</w:t>
      </w:r>
    </w:p>
    <w:p w14:paraId="416BE64C">
      <w:pPr>
        <w:pStyle w:val="38"/>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4.2.3.6提出质疑的日期。</w:t>
      </w:r>
    </w:p>
    <w:p w14:paraId="0631A29B">
      <w:pPr>
        <w:pStyle w:val="888"/>
        <w:keepNext w:val="0"/>
        <w:keepLines w:val="0"/>
        <w:pageBreakBefore w:val="0"/>
        <w:widowControl/>
        <w:shd w:val="clear" w:color="auto" w:fill="FFFFFF"/>
        <w:kinsoku/>
        <w:wordWrap/>
        <w:overflowPunct/>
        <w:topLinePunct w:val="0"/>
        <w:autoSpaceDE/>
        <w:autoSpaceDN/>
        <w:bidi w:val="0"/>
        <w:adjustRightInd/>
        <w:snapToGrid w:val="0"/>
        <w:spacing w:after="0" w:afterAutospacing="0" w:line="360" w:lineRule="auto"/>
        <w:ind w:firstLine="403"/>
        <w:contextualSpacing/>
        <w:textAlignment w:val="auto"/>
        <w:rPr>
          <w:rFonts w:hint="eastAsia" w:ascii="宋体" w:hAnsi="宋体" w:eastAsia="宋体" w:cs="宋体"/>
        </w:rPr>
      </w:pPr>
      <w:r>
        <w:rPr>
          <w:rFonts w:hint="eastAsia" w:ascii="宋体" w:hAnsi="宋体" w:eastAsia="宋体" w:cs="宋体"/>
        </w:rPr>
        <w:t>供应商提交的质疑函需一式三份。供应商为法人或者其他组织的，应当由法定代表人、主要负责人，或者其授权代表签字或者盖章，并加盖公章。</w:t>
      </w:r>
    </w:p>
    <w:p w14:paraId="204E339F">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2CE57158">
      <w:pPr>
        <w:pStyle w:val="888"/>
        <w:shd w:val="clear" w:color="auto" w:fill="FFFFFF"/>
        <w:snapToGrid w:val="0"/>
        <w:spacing w:after="240" w:afterAutospacing="0" w:line="360" w:lineRule="auto"/>
        <w:ind w:firstLine="480" w:firstLineChars="2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.4</w:t>
      </w:r>
      <w:r>
        <w:rPr>
          <w:rFonts w:hint="eastAsia" w:cs="宋体"/>
          <w:lang w:eastAsia="zh-CN"/>
        </w:rPr>
        <w:t>采购单位</w:t>
      </w:r>
      <w:r>
        <w:rPr>
          <w:rFonts w:hint="eastAsia" w:ascii="宋体" w:hAnsi="宋体" w:eastAsia="宋体" w:cs="宋体"/>
        </w:rPr>
        <w:t>或者采购机构应当在收到供应商的书面质疑后七个工作日内作出答复，并以书面形式通知质疑供应商和其他与质疑处理结果有利害关系的采购当事人，但答复的内容不得涉及商业秘密。根据《杭州市财政局关于进一步加强政府采购信息公开优化营商环境的通知》（杭财采监〔2021〕17号）</w:t>
      </w:r>
      <w:r>
        <w:rPr>
          <w:rFonts w:hint="eastAsia" w:cs="宋体"/>
          <w:lang w:eastAsia="zh-CN"/>
        </w:rPr>
        <w:t>，采购单位</w:t>
      </w:r>
      <w:r>
        <w:rPr>
          <w:rFonts w:hint="eastAsia" w:ascii="宋体" w:hAnsi="宋体" w:eastAsia="宋体" w:cs="宋体"/>
        </w:rPr>
        <w:t>或者采购机构在质疑回复后5个工作日内，在浙江政府采购网的“其他公告”栏目公开质疑答复，答复内容应当完整。质疑函作为附件上传。</w:t>
      </w:r>
    </w:p>
    <w:p w14:paraId="55CC8D5F">
      <w:pPr>
        <w:pStyle w:val="888"/>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4.2</w:t>
      </w:r>
      <w:r>
        <w:rPr>
          <w:rFonts w:hint="eastAsia" w:ascii="宋体" w:hAnsi="宋体" w:eastAsia="宋体" w:cs="宋体"/>
        </w:rPr>
        <w:t>.5询问或者质疑事项可能影响采购结果的，</w:t>
      </w:r>
      <w:r>
        <w:rPr>
          <w:rFonts w:hint="eastAsia" w:cs="宋体"/>
          <w:lang w:eastAsia="zh-CN"/>
        </w:rPr>
        <w:t>采购单位</w:t>
      </w:r>
      <w:r>
        <w:rPr>
          <w:rFonts w:hint="eastAsia" w:ascii="宋体" w:hAnsi="宋体" w:eastAsia="宋体" w:cs="宋体"/>
        </w:rPr>
        <w:t>应当暂停签订合同，已经签订合同的，应当中止履行合同。</w:t>
      </w:r>
    </w:p>
    <w:p w14:paraId="6594E035">
      <w:pPr>
        <w:pStyle w:val="888"/>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4.3供应商投诉</w:t>
      </w:r>
    </w:p>
    <w:p w14:paraId="47CDF77E">
      <w:pPr>
        <w:pStyle w:val="888"/>
        <w:shd w:val="clear" w:color="auto" w:fill="FFFFFF"/>
        <w:snapToGrid w:val="0"/>
        <w:spacing w:after="240" w:afterAutospacing="0" w:line="360" w:lineRule="auto"/>
        <w:ind w:firstLine="480" w:firstLineChars="200"/>
        <w:contextualSpacing/>
        <w:rPr>
          <w:rFonts w:hint="eastAsia" w:ascii="宋体" w:hAnsi="宋体" w:eastAsia="宋体" w:cs="宋体"/>
        </w:rPr>
      </w:pPr>
      <w:r>
        <w:rPr>
          <w:rFonts w:hint="eastAsia" w:ascii="宋体" w:hAnsi="宋体" w:eastAsia="宋体" w:cs="宋体"/>
        </w:rPr>
        <w:t>4.3.1质疑供应商对</w:t>
      </w:r>
      <w:r>
        <w:rPr>
          <w:rFonts w:hint="eastAsia" w:cs="宋体"/>
          <w:lang w:eastAsia="zh-CN"/>
        </w:rPr>
        <w:t>采购单位</w:t>
      </w:r>
      <w:r>
        <w:rPr>
          <w:rFonts w:hint="eastAsia" w:ascii="宋体" w:hAnsi="宋体" w:eastAsia="宋体" w:cs="宋体"/>
        </w:rPr>
        <w:t>、采购机构的答复不满意或者</w:t>
      </w:r>
      <w:r>
        <w:rPr>
          <w:rFonts w:hint="eastAsia" w:cs="宋体"/>
          <w:lang w:eastAsia="zh-CN"/>
        </w:rPr>
        <w:t>采购单位</w:t>
      </w:r>
      <w:r>
        <w:rPr>
          <w:rFonts w:hint="eastAsia" w:ascii="宋体" w:hAnsi="宋体" w:eastAsia="宋体" w:cs="宋体"/>
        </w:rPr>
        <w:t>、采购机构未在规定的时间内作出答复的，可以在答复期满后十五个工作日内向同级采购监督管理部门提出投诉。</w:t>
      </w:r>
    </w:p>
    <w:p w14:paraId="419F76E2">
      <w:pPr>
        <w:pStyle w:val="888"/>
        <w:shd w:val="clear" w:color="auto" w:fill="FFFFFF"/>
        <w:snapToGrid w:val="0"/>
        <w:spacing w:after="240" w:afterAutospacing="0" w:line="360" w:lineRule="auto"/>
        <w:ind w:firstLine="480" w:firstLineChars="200"/>
        <w:contextualSpacing/>
        <w:rPr>
          <w:rFonts w:hint="eastAsia" w:ascii="宋体" w:hAnsi="宋体" w:eastAsia="宋体" w:cs="宋体"/>
        </w:rPr>
      </w:pPr>
      <w:r>
        <w:rPr>
          <w:rFonts w:hint="eastAsia" w:ascii="宋体" w:hAnsi="宋体" w:eastAsia="宋体" w:cs="宋体"/>
        </w:rPr>
        <w:t>4.3.</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6B540B72">
      <w:pPr>
        <w:pStyle w:val="888"/>
        <w:shd w:val="clear" w:color="auto" w:fill="FFFFFF"/>
        <w:snapToGrid w:val="0"/>
        <w:spacing w:after="240" w:afterAutospacing="0" w:line="360" w:lineRule="auto"/>
        <w:ind w:firstLine="480" w:firstLineChars="200"/>
        <w:contextualSpacing/>
        <w:rPr>
          <w:rFonts w:hint="eastAsia" w:ascii="宋体" w:hAnsi="宋体" w:eastAsia="宋体" w:cs="宋体"/>
        </w:rPr>
      </w:pPr>
      <w:r>
        <w:rPr>
          <w:rFonts w:hint="eastAsia" w:ascii="宋体" w:hAnsi="宋体" w:eastAsia="宋体" w:cs="宋体"/>
        </w:rPr>
        <w:t>4.3.3供应商投诉应当有明确的请求和必要的证明材料。</w:t>
      </w:r>
    </w:p>
    <w:p w14:paraId="330D49D0">
      <w:pPr>
        <w:pStyle w:val="888"/>
        <w:shd w:val="clear" w:color="auto" w:fill="FFFFFF"/>
        <w:snapToGrid w:val="0"/>
        <w:spacing w:after="240" w:afterAutospacing="0" w:line="360" w:lineRule="auto"/>
        <w:ind w:firstLine="400"/>
        <w:contextualSpacing/>
        <w:rPr>
          <w:rFonts w:hint="eastAsia" w:ascii="宋体" w:hAnsi="宋体" w:eastAsia="宋体" w:cs="宋体"/>
          <w:sz w:val="18"/>
          <w:szCs w:val="18"/>
        </w:rPr>
      </w:pPr>
      <w:r>
        <w:rPr>
          <w:rFonts w:hint="eastAsia" w:ascii="宋体" w:hAnsi="宋体" w:eastAsia="宋体" w:cs="宋体"/>
        </w:rPr>
        <w:t>投诉书范本及制作说明详见附件3。</w:t>
      </w:r>
    </w:p>
    <w:p w14:paraId="06A8CFC6">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3087D4D3">
      <w:pPr>
        <w:pStyle w:val="38"/>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27C0A703">
      <w:pPr>
        <w:pStyle w:val="38"/>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37BB1DAF">
      <w:pPr>
        <w:pStyle w:val="38"/>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5.1.1招标公告；</w:t>
      </w:r>
    </w:p>
    <w:p w14:paraId="41840852">
      <w:pPr>
        <w:pStyle w:val="38"/>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5.1.2</w:t>
      </w:r>
      <w:r>
        <w:rPr>
          <w:rFonts w:hint="eastAsia" w:hAnsi="宋体" w:cs="宋体"/>
          <w:sz w:val="24"/>
          <w:szCs w:val="24"/>
          <w:lang w:eastAsia="zh-CN"/>
        </w:rPr>
        <w:t>投标单位</w:t>
      </w:r>
      <w:r>
        <w:rPr>
          <w:rFonts w:hint="eastAsia" w:ascii="宋体" w:hAnsi="宋体" w:eastAsia="宋体" w:cs="宋体"/>
          <w:sz w:val="24"/>
          <w:szCs w:val="24"/>
        </w:rPr>
        <w:t>须知；</w:t>
      </w:r>
    </w:p>
    <w:p w14:paraId="28803533">
      <w:pPr>
        <w:pStyle w:val="38"/>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5.1.3采购需求；</w:t>
      </w:r>
    </w:p>
    <w:p w14:paraId="44EFB2B8">
      <w:pPr>
        <w:pStyle w:val="38"/>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5.1.4评标办法；</w:t>
      </w:r>
    </w:p>
    <w:p w14:paraId="6010985B">
      <w:pPr>
        <w:pStyle w:val="38"/>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5.1.5拟签订的合同文本；</w:t>
      </w:r>
    </w:p>
    <w:p w14:paraId="56460FB0">
      <w:pPr>
        <w:pStyle w:val="38"/>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3B717479">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4BBC635E">
      <w:pPr>
        <w:pStyle w:val="38"/>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02F75AB1">
      <w:pPr>
        <w:pStyle w:val="38"/>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6.1 </w:t>
      </w:r>
      <w:r>
        <w:rPr>
          <w:rFonts w:hint="eastAsia" w:ascii="宋体" w:hAnsi="宋体" w:eastAsia="宋体" w:cs="宋体"/>
          <w:sz w:val="24"/>
          <w:szCs w:val="24"/>
        </w:rPr>
        <w:t>供应商应认真阅读本</w:t>
      </w:r>
      <w:r>
        <w:rPr>
          <w:rFonts w:hint="eastAsia" w:ascii="宋体" w:hAnsi="宋体" w:eastAsia="宋体" w:cs="宋体"/>
          <w:sz w:val="24"/>
          <w:szCs w:val="24"/>
          <w:lang w:eastAsia="zh-CN"/>
        </w:rPr>
        <w:t>询价文件</w:t>
      </w:r>
      <w:r>
        <w:rPr>
          <w:rFonts w:hint="eastAsia" w:ascii="宋体" w:hAnsi="宋体" w:eastAsia="宋体" w:cs="宋体"/>
          <w:sz w:val="24"/>
          <w:szCs w:val="24"/>
        </w:rPr>
        <w:t>，发现其中有误或有要求不合理的，应于投标截止时间前，以书面形式要求</w:t>
      </w:r>
      <w:r>
        <w:rPr>
          <w:rFonts w:hint="eastAsia" w:hAnsi="宋体" w:cs="宋体"/>
          <w:sz w:val="24"/>
          <w:szCs w:val="24"/>
          <w:lang w:eastAsia="zh-CN"/>
        </w:rPr>
        <w:t>采购单位</w:t>
      </w:r>
      <w:r>
        <w:rPr>
          <w:rFonts w:hint="eastAsia" w:ascii="宋体" w:hAnsi="宋体" w:eastAsia="宋体" w:cs="宋体"/>
          <w:sz w:val="24"/>
          <w:szCs w:val="24"/>
        </w:rPr>
        <w:t>或采购机构澄清。</w:t>
      </w:r>
    </w:p>
    <w:p w14:paraId="4A9020BF">
      <w:pPr>
        <w:pStyle w:val="38"/>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6.2 </w:t>
      </w:r>
      <w:r>
        <w:rPr>
          <w:rFonts w:hint="eastAsia" w:ascii="宋体" w:hAnsi="宋体" w:eastAsia="宋体" w:cs="宋体"/>
          <w:sz w:val="24"/>
          <w:szCs w:val="24"/>
        </w:rPr>
        <w:t>采购机构对已发出的</w:t>
      </w:r>
      <w:r>
        <w:rPr>
          <w:rFonts w:hint="eastAsia" w:ascii="宋体" w:hAnsi="宋体" w:eastAsia="宋体" w:cs="宋体"/>
          <w:sz w:val="24"/>
          <w:szCs w:val="24"/>
          <w:lang w:eastAsia="zh-CN"/>
        </w:rPr>
        <w:t>询价文件</w:t>
      </w:r>
      <w:r>
        <w:rPr>
          <w:rFonts w:hint="eastAsia" w:ascii="宋体" w:hAnsi="宋体" w:eastAsia="宋体" w:cs="宋体"/>
          <w:sz w:val="24"/>
          <w:szCs w:val="24"/>
        </w:rPr>
        <w:t>进行必要澄清、答复、修改或补充的，将在</w:t>
      </w:r>
      <w:r>
        <w:rPr>
          <w:rFonts w:hint="eastAsia" w:ascii="宋体" w:hAnsi="宋体" w:eastAsia="宋体" w:cs="宋体"/>
          <w:sz w:val="24"/>
          <w:szCs w:val="24"/>
          <w:lang w:eastAsia="zh-CN"/>
        </w:rPr>
        <w:t>询价文件</w:t>
      </w:r>
      <w:r>
        <w:rPr>
          <w:rFonts w:hint="eastAsia" w:ascii="宋体" w:hAnsi="宋体" w:eastAsia="宋体" w:cs="宋体"/>
          <w:sz w:val="24"/>
          <w:szCs w:val="24"/>
        </w:rPr>
        <w:t>要求提交</w:t>
      </w:r>
      <w:r>
        <w:rPr>
          <w:rFonts w:hint="eastAsia" w:ascii="宋体" w:hAnsi="宋体" w:eastAsia="宋体" w:cs="宋体"/>
          <w:sz w:val="24"/>
          <w:szCs w:val="24"/>
          <w:lang w:eastAsia="zh-CN"/>
        </w:rPr>
        <w:t>询价文件</w:t>
      </w:r>
      <w:r>
        <w:rPr>
          <w:rFonts w:hint="eastAsia" w:ascii="宋体" w:hAnsi="宋体" w:eastAsia="宋体" w:cs="宋体"/>
          <w:sz w:val="24"/>
          <w:szCs w:val="24"/>
        </w:rPr>
        <w:t>截止时间</w:t>
      </w:r>
      <w:r>
        <w:rPr>
          <w:rFonts w:hint="eastAsia" w:ascii="宋体" w:hAnsi="宋体" w:eastAsia="宋体" w:cs="宋体"/>
          <w:sz w:val="24"/>
          <w:szCs w:val="24"/>
          <w:lang w:val="en-US" w:eastAsia="zh-CN"/>
        </w:rPr>
        <w:t>3</w:t>
      </w:r>
      <w:r>
        <w:rPr>
          <w:rFonts w:hint="eastAsia" w:ascii="宋体" w:hAnsi="宋体" w:eastAsia="宋体" w:cs="宋体"/>
          <w:sz w:val="24"/>
          <w:szCs w:val="24"/>
        </w:rPr>
        <w:t>日前，发布更正公告，</w:t>
      </w:r>
      <w:r>
        <w:rPr>
          <w:rFonts w:hint="eastAsia" w:ascii="宋体" w:hAnsi="宋体" w:eastAsia="宋体" w:cs="宋体"/>
          <w:sz w:val="24"/>
          <w:szCs w:val="24"/>
          <w:lang w:eastAsia="zh-CN"/>
        </w:rPr>
        <w:t>同时</w:t>
      </w:r>
      <w:r>
        <w:rPr>
          <w:rFonts w:hint="eastAsia" w:ascii="宋体" w:hAnsi="宋体" w:eastAsia="宋体" w:cs="宋体"/>
          <w:sz w:val="24"/>
          <w:szCs w:val="24"/>
        </w:rPr>
        <w:t>通知已获取招标文件的潜在</w:t>
      </w:r>
      <w:r>
        <w:rPr>
          <w:rFonts w:hint="eastAsia" w:hAnsi="宋体" w:cs="宋体"/>
          <w:sz w:val="24"/>
          <w:szCs w:val="24"/>
          <w:lang w:eastAsia="zh-CN"/>
        </w:rPr>
        <w:t>投标单位</w:t>
      </w:r>
      <w:r>
        <w:rPr>
          <w:rFonts w:hint="eastAsia" w:ascii="宋体" w:hAnsi="宋体" w:eastAsia="宋体" w:cs="宋体"/>
          <w:sz w:val="24"/>
          <w:szCs w:val="24"/>
        </w:rPr>
        <w:t>。</w:t>
      </w:r>
    </w:p>
    <w:p w14:paraId="595E6B24">
      <w:pPr>
        <w:pStyle w:val="38"/>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6.3 </w:t>
      </w:r>
      <w:r>
        <w:rPr>
          <w:rFonts w:hint="eastAsia" w:ascii="宋体" w:hAnsi="宋体" w:eastAsia="宋体" w:cs="宋体"/>
          <w:sz w:val="24"/>
          <w:szCs w:val="24"/>
          <w:lang w:eastAsia="zh-CN"/>
        </w:rPr>
        <w:t>询价文件</w:t>
      </w:r>
      <w:r>
        <w:rPr>
          <w:rFonts w:hint="eastAsia" w:ascii="宋体" w:hAnsi="宋体" w:eastAsia="宋体" w:cs="宋体"/>
          <w:sz w:val="24"/>
          <w:szCs w:val="24"/>
        </w:rPr>
        <w:t>澄清、答复、修改、补充的内容为</w:t>
      </w:r>
      <w:r>
        <w:rPr>
          <w:rFonts w:hint="eastAsia" w:ascii="宋体" w:hAnsi="宋体" w:eastAsia="宋体" w:cs="宋体"/>
          <w:sz w:val="24"/>
          <w:szCs w:val="24"/>
          <w:lang w:eastAsia="zh-CN"/>
        </w:rPr>
        <w:t>询价文件</w:t>
      </w:r>
      <w:r>
        <w:rPr>
          <w:rFonts w:hint="eastAsia" w:ascii="宋体" w:hAnsi="宋体" w:eastAsia="宋体" w:cs="宋体"/>
          <w:sz w:val="24"/>
          <w:szCs w:val="24"/>
        </w:rPr>
        <w:t>的组成部分。当</w:t>
      </w:r>
      <w:r>
        <w:rPr>
          <w:rFonts w:hint="eastAsia" w:ascii="宋体" w:hAnsi="宋体" w:eastAsia="宋体" w:cs="宋体"/>
          <w:sz w:val="24"/>
          <w:szCs w:val="24"/>
          <w:lang w:eastAsia="zh-CN"/>
        </w:rPr>
        <w:t>询价文件</w:t>
      </w:r>
      <w:r>
        <w:rPr>
          <w:rFonts w:hint="eastAsia" w:ascii="宋体" w:hAnsi="宋体" w:eastAsia="宋体" w:cs="宋体"/>
          <w:sz w:val="24"/>
          <w:szCs w:val="24"/>
        </w:rPr>
        <w:t>与</w:t>
      </w:r>
      <w:r>
        <w:rPr>
          <w:rFonts w:hint="eastAsia" w:ascii="宋体" w:hAnsi="宋体" w:eastAsia="宋体" w:cs="宋体"/>
          <w:sz w:val="24"/>
          <w:szCs w:val="24"/>
          <w:lang w:eastAsia="zh-CN"/>
        </w:rPr>
        <w:t>询价文件</w:t>
      </w:r>
      <w:r>
        <w:rPr>
          <w:rFonts w:hint="eastAsia" w:ascii="宋体" w:hAnsi="宋体" w:eastAsia="宋体" w:cs="宋体"/>
          <w:sz w:val="24"/>
          <w:szCs w:val="24"/>
        </w:rPr>
        <w:t>的答复、澄清、修改、补充通知就同一内容的表述不一致时，以最后发出的文件为准。</w:t>
      </w:r>
    </w:p>
    <w:p w14:paraId="2A32F586">
      <w:pPr>
        <w:pStyle w:val="38"/>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6.4 </w:t>
      </w:r>
      <w:r>
        <w:rPr>
          <w:rFonts w:hint="eastAsia" w:ascii="宋体" w:hAnsi="宋体" w:eastAsia="宋体" w:cs="宋体"/>
          <w:sz w:val="24"/>
          <w:szCs w:val="24"/>
          <w:lang w:eastAsia="zh-CN"/>
        </w:rPr>
        <w:t>询价文件</w:t>
      </w:r>
      <w:r>
        <w:rPr>
          <w:rFonts w:hint="eastAsia" w:ascii="宋体" w:hAnsi="宋体" w:eastAsia="宋体" w:cs="宋体"/>
          <w:sz w:val="24"/>
          <w:szCs w:val="24"/>
        </w:rPr>
        <w:t>的澄清、答复、修改或补充都应该通过采购机构以法定形式发布，</w:t>
      </w:r>
      <w:r>
        <w:rPr>
          <w:rFonts w:hint="eastAsia" w:hAnsi="宋体" w:cs="宋体"/>
          <w:sz w:val="24"/>
          <w:szCs w:val="24"/>
          <w:lang w:eastAsia="zh-CN"/>
        </w:rPr>
        <w:t>采购单位</w:t>
      </w:r>
      <w:r>
        <w:rPr>
          <w:rFonts w:hint="eastAsia" w:ascii="宋体" w:hAnsi="宋体" w:eastAsia="宋体" w:cs="宋体"/>
          <w:sz w:val="24"/>
          <w:szCs w:val="24"/>
        </w:rPr>
        <w:t>非通过采购机构，不得擅自澄清、答复、修改或补充</w:t>
      </w:r>
      <w:r>
        <w:rPr>
          <w:rFonts w:hint="eastAsia" w:ascii="宋体" w:hAnsi="宋体" w:eastAsia="宋体" w:cs="宋体"/>
          <w:sz w:val="24"/>
          <w:szCs w:val="24"/>
          <w:lang w:eastAsia="zh-CN"/>
        </w:rPr>
        <w:t>询价文件</w:t>
      </w:r>
      <w:r>
        <w:rPr>
          <w:rFonts w:hint="eastAsia" w:ascii="宋体" w:hAnsi="宋体" w:eastAsia="宋体" w:cs="宋体"/>
          <w:sz w:val="24"/>
          <w:szCs w:val="24"/>
        </w:rPr>
        <w:t>。</w:t>
      </w:r>
    </w:p>
    <w:p w14:paraId="4A5C40D4">
      <w:pPr>
        <w:pStyle w:val="38"/>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6.5 </w:t>
      </w:r>
      <w:r>
        <w:rPr>
          <w:rFonts w:hint="eastAsia" w:ascii="宋体" w:hAnsi="宋体" w:eastAsia="宋体" w:cs="宋体"/>
          <w:sz w:val="24"/>
          <w:szCs w:val="24"/>
        </w:rPr>
        <w:t>供应商一旦参与本次采购</w:t>
      </w:r>
      <w:r>
        <w:rPr>
          <w:rFonts w:hint="eastAsia" w:ascii="宋体" w:hAnsi="宋体" w:eastAsia="宋体" w:cs="宋体"/>
          <w:sz w:val="24"/>
          <w:szCs w:val="24"/>
          <w:lang w:eastAsia="zh-CN"/>
        </w:rPr>
        <w:t>询价</w:t>
      </w:r>
      <w:r>
        <w:rPr>
          <w:rFonts w:hint="eastAsia" w:ascii="宋体" w:hAnsi="宋体" w:eastAsia="宋体" w:cs="宋体"/>
          <w:sz w:val="24"/>
          <w:szCs w:val="24"/>
        </w:rPr>
        <w:t>活动，即被视为接受了本</w:t>
      </w:r>
      <w:r>
        <w:rPr>
          <w:rFonts w:hint="eastAsia" w:ascii="宋体" w:hAnsi="宋体" w:eastAsia="宋体" w:cs="宋体"/>
          <w:sz w:val="24"/>
          <w:szCs w:val="24"/>
          <w:lang w:eastAsia="zh-CN"/>
        </w:rPr>
        <w:t>询价文件</w:t>
      </w:r>
      <w:r>
        <w:rPr>
          <w:rFonts w:hint="eastAsia" w:ascii="宋体" w:hAnsi="宋体" w:eastAsia="宋体" w:cs="宋体"/>
          <w:sz w:val="24"/>
          <w:szCs w:val="24"/>
        </w:rPr>
        <w:t>的所有内容，如有任何异议，均已在答疑截止时间前提出。</w:t>
      </w:r>
    </w:p>
    <w:p w14:paraId="4351AB13">
      <w:pPr>
        <w:pStyle w:val="38"/>
        <w:tabs>
          <w:tab w:val="left" w:pos="840"/>
        </w:tabs>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6.6 </w:t>
      </w:r>
      <w:r>
        <w:rPr>
          <w:rFonts w:hint="eastAsia" w:ascii="宋体" w:hAnsi="宋体" w:eastAsia="宋体" w:cs="宋体"/>
          <w:sz w:val="24"/>
          <w:szCs w:val="24"/>
        </w:rPr>
        <w:t>若有必要，代理机构将酌情延长递交</w:t>
      </w:r>
      <w:r>
        <w:rPr>
          <w:rFonts w:hint="eastAsia" w:ascii="宋体" w:hAnsi="宋体" w:eastAsia="宋体" w:cs="宋体"/>
          <w:sz w:val="24"/>
          <w:szCs w:val="24"/>
          <w:lang w:eastAsia="zh-CN"/>
        </w:rPr>
        <w:t>询价</w:t>
      </w:r>
      <w:r>
        <w:rPr>
          <w:rFonts w:hint="eastAsia" w:ascii="宋体" w:hAnsi="宋体" w:eastAsia="宋体" w:cs="宋体"/>
          <w:sz w:val="24"/>
          <w:szCs w:val="24"/>
        </w:rPr>
        <w:t>响应文件的截止日期。</w:t>
      </w:r>
    </w:p>
    <w:p w14:paraId="18B1B810">
      <w:pPr>
        <w:pStyle w:val="27"/>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2F40442F">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026F65B2">
      <w:pPr>
        <w:pStyle w:val="38"/>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35BA59DF">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7215AE01">
      <w:pPr>
        <w:pStyle w:val="38"/>
        <w:spacing w:line="360" w:lineRule="auto"/>
        <w:rPr>
          <w:rFonts w:hint="eastAsia" w:ascii="宋体" w:hAnsi="宋体" w:eastAsia="宋体" w:cs="宋体"/>
          <w:b/>
          <w:sz w:val="24"/>
          <w:szCs w:val="24"/>
          <w:lang w:eastAsia="zh-CN"/>
        </w:rPr>
      </w:pPr>
      <w:r>
        <w:rPr>
          <w:rFonts w:hint="eastAsia" w:ascii="宋体" w:hAnsi="宋体" w:eastAsia="宋体" w:cs="宋体"/>
          <w:b/>
          <w:sz w:val="24"/>
          <w:szCs w:val="24"/>
        </w:rPr>
        <w:t>8.开标前答疑会或现场考察</w:t>
      </w:r>
      <w:r>
        <w:rPr>
          <w:rFonts w:hint="eastAsia" w:ascii="宋体" w:hAnsi="宋体" w:eastAsia="宋体" w:cs="宋体"/>
          <w:b/>
          <w:sz w:val="24"/>
          <w:szCs w:val="24"/>
          <w:lang w:eastAsia="zh-CN"/>
        </w:rPr>
        <w:t>：无</w:t>
      </w:r>
    </w:p>
    <w:p w14:paraId="1135D099">
      <w:pPr>
        <w:pStyle w:val="38"/>
        <w:spacing w:line="360" w:lineRule="auto"/>
        <w:rPr>
          <w:rFonts w:hint="eastAsia" w:ascii="宋体" w:hAnsi="宋体" w:eastAsia="宋体" w:cs="宋体"/>
          <w:b/>
          <w:szCs w:val="24"/>
        </w:rPr>
      </w:pPr>
      <w:r>
        <w:rPr>
          <w:rFonts w:hint="eastAsia" w:ascii="宋体" w:hAnsi="宋体" w:eastAsia="宋体" w:cs="宋体"/>
          <w:b/>
          <w:kern w:val="28"/>
          <w:sz w:val="24"/>
          <w:szCs w:val="24"/>
        </w:rPr>
        <w:t>9.投标保证金</w:t>
      </w:r>
    </w:p>
    <w:p w14:paraId="4A09D9B6">
      <w:pPr>
        <w:pStyle w:val="18"/>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50D387C4">
      <w:pPr>
        <w:pStyle w:val="38"/>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429EA1BA">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w:t>
      </w:r>
      <w:r>
        <w:rPr>
          <w:rFonts w:hint="eastAsia" w:ascii="宋体" w:hAnsi="宋体" w:cs="宋体"/>
          <w:sz w:val="24"/>
          <w:lang w:eastAsia="zh-CN"/>
        </w:rPr>
        <w:t>投标单位</w:t>
      </w:r>
      <w:r>
        <w:rPr>
          <w:rFonts w:hint="eastAsia" w:ascii="宋体" w:hAnsi="宋体" w:eastAsia="宋体" w:cs="宋体"/>
          <w:sz w:val="24"/>
        </w:rPr>
        <w:t>与采购有关的来往通知、函件和文件均应使用中文。</w:t>
      </w:r>
    </w:p>
    <w:p w14:paraId="34079B76">
      <w:pPr>
        <w:pStyle w:val="38"/>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680332E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11.1</w:t>
      </w:r>
      <w:r>
        <w:rPr>
          <w:rFonts w:hint="eastAsia" w:ascii="宋体" w:hAnsi="宋体" w:eastAsia="宋体" w:cs="宋体"/>
          <w:b/>
          <w:sz w:val="24"/>
        </w:rPr>
        <w:t>资格文件</w:t>
      </w:r>
      <w:r>
        <w:rPr>
          <w:rFonts w:hint="eastAsia" w:ascii="宋体" w:hAnsi="宋体" w:eastAsia="宋体" w:cs="宋体"/>
          <w:sz w:val="24"/>
        </w:rPr>
        <w:t>：</w:t>
      </w:r>
    </w:p>
    <w:p w14:paraId="65D97CDD">
      <w:pPr>
        <w:numPr>
          <w:ilvl w:val="0"/>
          <w:numId w:val="0"/>
        </w:num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11.1.1符合参加采购活动应当具备的一般条件的承诺函</w:t>
      </w:r>
    </w:p>
    <w:p w14:paraId="4F1E33B5">
      <w:pPr>
        <w:numPr>
          <w:ilvl w:val="0"/>
          <w:numId w:val="0"/>
        </w:num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11.1.</w:t>
      </w:r>
      <w:r>
        <w:rPr>
          <w:rFonts w:hint="eastAsia" w:ascii="宋体" w:hAnsi="宋体" w:eastAsia="宋体" w:cs="宋体"/>
          <w:sz w:val="24"/>
          <w:lang w:val="en-US" w:eastAsia="zh-CN"/>
        </w:rPr>
        <w:t>2</w:t>
      </w:r>
      <w:r>
        <w:rPr>
          <w:rFonts w:hint="eastAsia" w:ascii="宋体" w:hAnsi="宋体" w:eastAsia="宋体" w:cs="宋体"/>
          <w:sz w:val="24"/>
          <w:lang w:val="zh-CN"/>
        </w:rPr>
        <w:t>采购供应商廉洁自律承诺书</w:t>
      </w:r>
    </w:p>
    <w:p w14:paraId="0FE5E8DE">
      <w:pPr>
        <w:numPr>
          <w:ilvl w:val="0"/>
          <w:numId w:val="0"/>
        </w:num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11.1.</w:t>
      </w:r>
      <w:r>
        <w:rPr>
          <w:rFonts w:hint="eastAsia" w:ascii="宋体" w:hAnsi="宋体" w:eastAsia="宋体" w:cs="宋体"/>
          <w:sz w:val="24"/>
          <w:lang w:val="en-US" w:eastAsia="zh-CN"/>
        </w:rPr>
        <w:t>3</w:t>
      </w:r>
      <w:r>
        <w:rPr>
          <w:rFonts w:hint="eastAsia" w:ascii="宋体" w:hAnsi="宋体" w:eastAsia="宋体" w:cs="宋体"/>
          <w:sz w:val="24"/>
        </w:rPr>
        <w:t>落实采购政策需满足的资格要求</w:t>
      </w:r>
    </w:p>
    <w:p w14:paraId="3900C701">
      <w:pPr>
        <w:numPr>
          <w:ilvl w:val="0"/>
          <w:numId w:val="0"/>
        </w:num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11.1.</w:t>
      </w:r>
      <w:r>
        <w:rPr>
          <w:rFonts w:hint="eastAsia" w:ascii="宋体" w:hAnsi="宋体" w:eastAsia="宋体" w:cs="宋体"/>
          <w:sz w:val="24"/>
          <w:lang w:val="en-US" w:eastAsia="zh-CN"/>
        </w:rPr>
        <w:t>4</w:t>
      </w:r>
      <w:r>
        <w:rPr>
          <w:rFonts w:hint="eastAsia" w:ascii="宋体" w:hAnsi="宋体" w:eastAsia="宋体" w:cs="宋体"/>
          <w:sz w:val="24"/>
          <w:lang w:eastAsia="zh-CN"/>
        </w:rPr>
        <w:t>投标函</w:t>
      </w:r>
    </w:p>
    <w:p w14:paraId="353A0FE4">
      <w:pPr>
        <w:numPr>
          <w:ilvl w:val="0"/>
          <w:numId w:val="0"/>
        </w:num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11.1.</w:t>
      </w:r>
      <w:r>
        <w:rPr>
          <w:rFonts w:hint="eastAsia" w:ascii="宋体" w:hAnsi="宋体" w:eastAsia="宋体" w:cs="宋体"/>
          <w:sz w:val="24"/>
          <w:lang w:val="en-US" w:eastAsia="zh-CN"/>
        </w:rPr>
        <w:t>5</w:t>
      </w:r>
      <w:r>
        <w:rPr>
          <w:rFonts w:hint="eastAsia" w:ascii="宋体" w:hAnsi="宋体" w:eastAsia="宋体" w:cs="宋体"/>
          <w:sz w:val="24"/>
        </w:rPr>
        <w:t>授权委托书或法定代表人（单位负责人）身份证明</w:t>
      </w:r>
    </w:p>
    <w:p w14:paraId="02E88FBD">
      <w:pPr>
        <w:numPr>
          <w:ilvl w:val="0"/>
          <w:numId w:val="0"/>
        </w:num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11.1.</w:t>
      </w:r>
      <w:r>
        <w:rPr>
          <w:rFonts w:hint="eastAsia" w:ascii="宋体" w:hAnsi="宋体" w:eastAsia="宋体" w:cs="宋体"/>
          <w:sz w:val="24"/>
          <w:lang w:val="en-US" w:eastAsia="zh-CN"/>
        </w:rPr>
        <w:t>6企业营业执照</w:t>
      </w:r>
    </w:p>
    <w:p w14:paraId="39682C56">
      <w:pPr>
        <w:numPr>
          <w:ilvl w:val="0"/>
          <w:numId w:val="0"/>
        </w:num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11.1.</w:t>
      </w:r>
      <w:r>
        <w:rPr>
          <w:rFonts w:hint="eastAsia" w:ascii="宋体" w:hAnsi="宋体" w:eastAsia="宋体" w:cs="宋体"/>
          <w:sz w:val="24"/>
          <w:lang w:val="en-US" w:eastAsia="zh-CN"/>
        </w:rPr>
        <w:t>7</w:t>
      </w:r>
      <w:r>
        <w:rPr>
          <w:rFonts w:hint="eastAsia" w:ascii="宋体" w:hAnsi="宋体" w:eastAsia="宋体" w:cs="宋体"/>
          <w:sz w:val="24"/>
          <w:lang w:val="zh-CN"/>
        </w:rPr>
        <w:t>本项目的特定资格要求</w:t>
      </w:r>
      <w:r>
        <w:rPr>
          <w:rFonts w:hint="eastAsia" w:ascii="宋体" w:hAnsi="宋体" w:cs="宋体"/>
          <w:sz w:val="24"/>
          <w:lang w:val="zh-CN"/>
        </w:rPr>
        <w:t>（如有）</w:t>
      </w:r>
    </w:p>
    <w:p w14:paraId="47D42213">
      <w:pPr>
        <w:snapToGrid w:val="0"/>
        <w:spacing w:line="360" w:lineRule="auto"/>
        <w:ind w:firstLine="480" w:firstLineChars="200"/>
        <w:rPr>
          <w:rFonts w:hint="eastAsia" w:ascii="宋体" w:hAnsi="宋体" w:eastAsia="宋体" w:cs="宋体"/>
          <w:sz w:val="24"/>
          <w:u w:val="single"/>
          <w:lang w:val="zh-CN"/>
        </w:rPr>
      </w:pPr>
      <w:r>
        <w:rPr>
          <w:rFonts w:hint="eastAsia" w:ascii="宋体" w:hAnsi="宋体" w:eastAsia="宋体" w:cs="宋体"/>
          <w:kern w:val="0"/>
          <w:sz w:val="24"/>
          <w:lang w:val="zh-CN"/>
        </w:rPr>
        <w:t>11.</w:t>
      </w:r>
      <w:r>
        <w:rPr>
          <w:rFonts w:hint="eastAsia" w:ascii="宋体" w:hAnsi="宋体" w:eastAsia="宋体" w:cs="宋体"/>
          <w:kern w:val="0"/>
          <w:sz w:val="24"/>
          <w:lang w:val="en-US" w:eastAsia="zh-CN"/>
        </w:rPr>
        <w:t>2</w:t>
      </w:r>
      <w:r>
        <w:rPr>
          <w:rFonts w:hint="eastAsia" w:ascii="宋体" w:hAnsi="宋体" w:eastAsia="宋体" w:cs="宋体"/>
          <w:b/>
          <w:sz w:val="24"/>
        </w:rPr>
        <w:t>报价文件：</w:t>
      </w:r>
      <w:r>
        <w:rPr>
          <w:rFonts w:hint="eastAsia" w:ascii="宋体" w:hAnsi="宋体" w:eastAsia="宋体" w:cs="宋体"/>
          <w:sz w:val="24"/>
        </w:rPr>
        <w:t xml:space="preserve"> </w:t>
      </w:r>
    </w:p>
    <w:p w14:paraId="642A645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11.</w:t>
      </w:r>
      <w:r>
        <w:rPr>
          <w:rFonts w:hint="eastAsia" w:ascii="宋体" w:hAnsi="宋体" w:eastAsia="宋体" w:cs="宋体"/>
          <w:sz w:val="24"/>
          <w:lang w:val="en-US" w:eastAsia="zh-CN"/>
        </w:rPr>
        <w:t>2</w:t>
      </w:r>
      <w:r>
        <w:rPr>
          <w:rFonts w:hint="eastAsia" w:ascii="宋体" w:hAnsi="宋体" w:eastAsia="宋体" w:cs="宋体"/>
          <w:sz w:val="24"/>
        </w:rPr>
        <w:t>.1开标一览表（报价表）；</w:t>
      </w:r>
    </w:p>
    <w:p w14:paraId="61974461">
      <w:pPr>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sz w:val="24"/>
        </w:rPr>
        <w:t>11.</w:t>
      </w: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lang w:eastAsia="zh-CN"/>
        </w:rPr>
        <w:t>报价说明（如有）</w:t>
      </w:r>
      <w:r>
        <w:rPr>
          <w:rFonts w:hint="eastAsia" w:ascii="宋体" w:hAnsi="宋体" w:eastAsia="宋体" w:cs="宋体"/>
          <w:sz w:val="24"/>
        </w:rPr>
        <w:t>。</w:t>
      </w:r>
    </w:p>
    <w:p w14:paraId="3781ABAD">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投标文件含有</w:t>
      </w:r>
      <w:r>
        <w:rPr>
          <w:rFonts w:hint="eastAsia" w:ascii="宋体" w:hAnsi="宋体" w:cs="宋体"/>
          <w:b/>
          <w:sz w:val="24"/>
          <w:lang w:eastAsia="zh-CN"/>
        </w:rPr>
        <w:t>采购单位</w:t>
      </w:r>
      <w:r>
        <w:rPr>
          <w:rFonts w:hint="eastAsia" w:ascii="宋体" w:hAnsi="宋体" w:eastAsia="宋体" w:cs="宋体"/>
          <w:b/>
          <w:sz w:val="24"/>
        </w:rPr>
        <w:t>不能接受的附加条件的，投标无效；</w:t>
      </w:r>
    </w:p>
    <w:p w14:paraId="6809803A">
      <w:pPr>
        <w:spacing w:line="360" w:lineRule="auto"/>
        <w:ind w:firstLine="482" w:firstLineChars="200"/>
        <w:rPr>
          <w:rFonts w:hint="eastAsia" w:ascii="宋体" w:hAnsi="宋体" w:eastAsia="宋体" w:cs="宋体"/>
          <w:b/>
          <w:sz w:val="24"/>
          <w:szCs w:val="21"/>
        </w:rPr>
      </w:pPr>
      <w:r>
        <w:rPr>
          <w:rFonts w:hint="eastAsia" w:ascii="宋体" w:hAnsi="宋体" w:cs="宋体"/>
          <w:b/>
          <w:sz w:val="24"/>
          <w:lang w:eastAsia="zh-CN"/>
        </w:rPr>
        <w:t>投标单位</w:t>
      </w:r>
      <w:r>
        <w:rPr>
          <w:rFonts w:hint="eastAsia" w:ascii="宋体" w:hAnsi="宋体" w:eastAsia="宋体" w:cs="宋体"/>
          <w:b/>
          <w:sz w:val="24"/>
        </w:rPr>
        <w:t>提供虚假材料投标的，投标无效。</w:t>
      </w:r>
    </w:p>
    <w:p w14:paraId="1DCCF6B0">
      <w:pPr>
        <w:pStyle w:val="135"/>
        <w:snapToGrid w:val="0"/>
        <w:spacing w:before="0"/>
        <w:ind w:firstLine="0" w:firstLineChars="0"/>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17BFDCA3">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投标文件分为资格文件、报价文件两部分。各</w:t>
      </w:r>
      <w:r>
        <w:rPr>
          <w:rFonts w:hint="eastAsia" w:ascii="宋体" w:hAnsi="宋体" w:cs="宋体"/>
          <w:kern w:val="0"/>
          <w:sz w:val="24"/>
          <w:lang w:val="zh-CN"/>
        </w:rPr>
        <w:t>投标单位</w:t>
      </w:r>
      <w:r>
        <w:rPr>
          <w:rFonts w:hint="eastAsia" w:ascii="宋体" w:hAnsi="宋体" w:eastAsia="宋体" w:cs="宋体"/>
          <w:kern w:val="0"/>
          <w:sz w:val="24"/>
          <w:lang w:val="zh-CN"/>
        </w:rPr>
        <w:t>在编制投标文件时请按照招标文件第六部分规定的格式进行，混乱的编排导致投标文件被误读或评标委员会查找不到有效文件是</w:t>
      </w:r>
      <w:r>
        <w:rPr>
          <w:rFonts w:hint="eastAsia" w:ascii="宋体" w:hAnsi="宋体" w:cs="宋体"/>
          <w:kern w:val="0"/>
          <w:sz w:val="24"/>
          <w:lang w:val="zh-CN"/>
        </w:rPr>
        <w:t>投标单位</w:t>
      </w:r>
      <w:r>
        <w:rPr>
          <w:rFonts w:hint="eastAsia" w:ascii="宋体" w:hAnsi="宋体" w:eastAsia="宋体" w:cs="宋体"/>
          <w:kern w:val="0"/>
          <w:sz w:val="24"/>
          <w:lang w:val="zh-CN"/>
        </w:rPr>
        <w:t>的风险。</w:t>
      </w:r>
    </w:p>
    <w:p w14:paraId="35735AB1">
      <w:pPr>
        <w:snapToGrid w:val="0"/>
        <w:spacing w:line="360" w:lineRule="auto"/>
        <w:rPr>
          <w:rFonts w:hint="eastAsia" w:ascii="宋体" w:hAnsi="宋体" w:eastAsia="宋体" w:cs="宋体"/>
          <w:b/>
          <w:sz w:val="24"/>
        </w:rPr>
      </w:pPr>
      <w:r>
        <w:rPr>
          <w:rFonts w:hint="eastAsia" w:ascii="宋体" w:hAnsi="宋体" w:eastAsia="宋体" w:cs="宋体"/>
          <w:b/>
          <w:sz w:val="24"/>
        </w:rPr>
        <w:t>13.投标文件的签署、盖章</w:t>
      </w:r>
    </w:p>
    <w:p w14:paraId="2D6CE5E0">
      <w:pPr>
        <w:pStyle w:val="135"/>
        <w:snapToGrid w:val="0"/>
        <w:spacing w:before="0"/>
        <w:ind w:firstLine="480"/>
        <w:rPr>
          <w:rFonts w:hint="eastAsia" w:ascii="宋体" w:hAnsi="宋体" w:eastAsia="宋体" w:cs="宋体"/>
          <w:szCs w:val="24"/>
        </w:rPr>
      </w:pPr>
      <w:r>
        <w:rPr>
          <w:rFonts w:hint="eastAsia" w:ascii="宋体" w:hAnsi="宋体" w:eastAsia="宋体" w:cs="宋体"/>
          <w:szCs w:val="24"/>
        </w:rPr>
        <w:t>投标文件按照招标文件第六部分格式要</w:t>
      </w:r>
      <w:r>
        <w:rPr>
          <w:rFonts w:hint="eastAsia" w:ascii="宋体" w:hAnsi="宋体" w:eastAsia="宋体" w:cs="宋体"/>
        </w:rPr>
        <w:t>求进行签署、盖章。</w:t>
      </w:r>
      <w:r>
        <w:rPr>
          <w:rFonts w:hint="eastAsia" w:ascii="宋体" w:hAnsi="宋体" w:eastAsia="宋体" w:cs="宋体"/>
          <w:b/>
        </w:rPr>
        <w:t>▲</w:t>
      </w:r>
      <w:r>
        <w:rPr>
          <w:rFonts w:hint="eastAsia" w:ascii="宋体" w:hAnsi="宋体" w:cs="宋体"/>
          <w:b/>
          <w:lang w:eastAsia="zh-CN"/>
        </w:rPr>
        <w:t>投标单位</w:t>
      </w:r>
      <w:r>
        <w:rPr>
          <w:rFonts w:hint="eastAsia" w:ascii="宋体" w:hAnsi="宋体" w:eastAsia="宋体" w:cs="宋体"/>
          <w:b/>
        </w:rPr>
        <w:t>的投标文件未按照招标文件要求签署、盖章的，其投标无效</w:t>
      </w:r>
      <w:r>
        <w:rPr>
          <w:rFonts w:hint="eastAsia" w:ascii="宋体" w:hAnsi="宋体" w:eastAsia="宋体" w:cs="宋体"/>
          <w:szCs w:val="24"/>
        </w:rPr>
        <w:t>。</w:t>
      </w:r>
    </w:p>
    <w:p w14:paraId="23D07FF5">
      <w:pPr>
        <w:pStyle w:val="135"/>
        <w:numPr>
          <w:ilvl w:val="0"/>
          <w:numId w:val="1"/>
        </w:numPr>
        <w:spacing w:before="0"/>
        <w:ind w:firstLine="0" w:firstLineChars="0"/>
        <w:rPr>
          <w:rFonts w:hint="eastAsia" w:ascii="宋体" w:hAnsi="宋体" w:eastAsia="宋体" w:cs="宋体"/>
          <w:b/>
          <w:szCs w:val="24"/>
          <w:lang w:eastAsia="zh-CN"/>
        </w:rPr>
      </w:pPr>
      <w:r>
        <w:rPr>
          <w:rFonts w:hint="eastAsia" w:ascii="宋体" w:hAnsi="宋体" w:eastAsia="宋体" w:cs="宋体"/>
          <w:b/>
          <w:szCs w:val="24"/>
        </w:rPr>
        <w:t>投标文件的</w:t>
      </w:r>
      <w:r>
        <w:rPr>
          <w:rFonts w:hint="eastAsia" w:ascii="宋体" w:hAnsi="宋体" w:eastAsia="宋体" w:cs="宋体"/>
          <w:b/>
          <w:szCs w:val="24"/>
          <w:lang w:eastAsia="zh-CN"/>
        </w:rPr>
        <w:t>份数</w:t>
      </w:r>
    </w:p>
    <w:p w14:paraId="43118148">
      <w:pPr>
        <w:pStyle w:val="135"/>
        <w:spacing w:before="0"/>
        <w:ind w:firstLine="480"/>
        <w:rPr>
          <w:rFonts w:hint="eastAsia" w:ascii="宋体" w:hAnsi="宋体" w:eastAsia="宋体" w:cs="宋体"/>
          <w:kern w:val="0"/>
          <w:szCs w:val="24"/>
          <w:lang w:val="zh-CN"/>
        </w:rPr>
      </w:pPr>
      <w:r>
        <w:rPr>
          <w:rFonts w:hint="eastAsia" w:ascii="宋体" w:hAnsi="宋体" w:eastAsia="宋体" w:cs="宋体"/>
          <w:kern w:val="0"/>
          <w:szCs w:val="24"/>
        </w:rPr>
        <w:t>14.1</w:t>
      </w:r>
      <w:r>
        <w:rPr>
          <w:rFonts w:hint="eastAsia" w:ascii="宋体" w:hAnsi="宋体" w:eastAsia="宋体" w:cs="宋体"/>
          <w:kern w:val="0"/>
          <w:szCs w:val="24"/>
          <w:lang w:val="zh-CN"/>
        </w:rPr>
        <w:t>供应商应按照本招标文件规定的格式编制、装订询价响应文件，询价响应文件内容不完整、编排混乱导致询价响应文件被误读、漏读或者查找不到相关内容的，是供应商的责任。</w:t>
      </w:r>
    </w:p>
    <w:p w14:paraId="61213449">
      <w:pPr>
        <w:pStyle w:val="7"/>
        <w:keepNext w:val="0"/>
        <w:keepLines w:val="0"/>
        <w:tabs>
          <w:tab w:val="left" w:pos="105"/>
          <w:tab w:val="clear" w:pos="1008"/>
        </w:tabs>
        <w:snapToGrid w:val="0"/>
        <w:spacing w:before="0" w:after="0" w:line="360" w:lineRule="auto"/>
        <w:ind w:left="0" w:firstLine="480" w:firstLineChars="200"/>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rPr>
        <w:t xml:space="preserve">14.2 </w:t>
      </w:r>
      <w:r>
        <w:rPr>
          <w:rFonts w:hint="eastAsia" w:ascii="宋体" w:hAnsi="宋体" w:eastAsia="宋体" w:cs="宋体"/>
          <w:b w:val="0"/>
          <w:bCs w:val="0"/>
          <w:kern w:val="0"/>
          <w:sz w:val="24"/>
          <w:szCs w:val="24"/>
          <w:lang w:val="zh-CN"/>
        </w:rPr>
        <w:t>供应商应按</w:t>
      </w:r>
      <w:r>
        <w:rPr>
          <w:rFonts w:hint="eastAsia" w:ascii="宋体" w:hAnsi="宋体" w:eastAsia="宋体" w:cs="宋体"/>
          <w:b w:val="0"/>
          <w:bCs w:val="0"/>
          <w:kern w:val="0"/>
          <w:sz w:val="24"/>
          <w:szCs w:val="24"/>
        </w:rPr>
        <w:t>响应资格文件</w:t>
      </w:r>
      <w:r>
        <w:rPr>
          <w:rFonts w:hint="eastAsia" w:ascii="宋体" w:hAnsi="宋体" w:eastAsia="宋体" w:cs="宋体"/>
          <w:b w:val="0"/>
          <w:bCs w:val="0"/>
          <w:kern w:val="0"/>
          <w:sz w:val="24"/>
          <w:szCs w:val="24"/>
          <w:lang w:val="zh-CN"/>
        </w:rPr>
        <w:t>、报价文件</w:t>
      </w:r>
      <w:r>
        <w:rPr>
          <w:rFonts w:hint="eastAsia" w:ascii="宋体" w:hAnsi="宋体" w:eastAsia="宋体" w:cs="宋体"/>
          <w:kern w:val="0"/>
          <w:sz w:val="24"/>
          <w:szCs w:val="24"/>
          <w:lang w:val="zh-CN"/>
        </w:rPr>
        <w:t>正本各1份，副本各2份</w:t>
      </w:r>
      <w:r>
        <w:rPr>
          <w:rFonts w:hint="eastAsia" w:ascii="宋体" w:hAnsi="宋体" w:eastAsia="宋体" w:cs="宋体"/>
          <w:b w:val="0"/>
          <w:bCs w:val="0"/>
          <w:kern w:val="0"/>
          <w:sz w:val="24"/>
          <w:szCs w:val="24"/>
          <w:lang w:val="zh-CN"/>
        </w:rPr>
        <w:t>分别编制并单独装订成册，询价响应文件的封面应注明“正本</w:t>
      </w:r>
      <w:r>
        <w:rPr>
          <w:rFonts w:hint="eastAsia" w:ascii="宋体" w:hAnsi="宋体" w:cs="宋体"/>
          <w:b w:val="0"/>
          <w:bCs w:val="0"/>
          <w:kern w:val="0"/>
          <w:sz w:val="24"/>
          <w:szCs w:val="24"/>
          <w:lang w:val="zh-CN"/>
        </w:rPr>
        <w:t>”“</w:t>
      </w:r>
      <w:r>
        <w:rPr>
          <w:rFonts w:hint="eastAsia" w:ascii="宋体" w:hAnsi="宋体" w:eastAsia="宋体" w:cs="宋体"/>
          <w:b w:val="0"/>
          <w:bCs w:val="0"/>
          <w:kern w:val="0"/>
          <w:sz w:val="24"/>
          <w:szCs w:val="24"/>
          <w:lang w:val="zh-CN"/>
        </w:rPr>
        <w:t>副本”字样，</w:t>
      </w:r>
      <w:r>
        <w:rPr>
          <w:rFonts w:hint="eastAsia" w:ascii="宋体" w:hAnsi="宋体" w:cs="宋体"/>
          <w:kern w:val="0"/>
          <w:sz w:val="24"/>
          <w:szCs w:val="24"/>
          <w:lang w:val="zh-CN"/>
        </w:rPr>
        <w:t>装订成册</w:t>
      </w:r>
      <w:r>
        <w:rPr>
          <w:rFonts w:hint="eastAsia" w:ascii="宋体" w:hAnsi="宋体" w:eastAsia="宋体" w:cs="宋体"/>
          <w:b w:val="0"/>
          <w:bCs w:val="0"/>
          <w:kern w:val="0"/>
          <w:sz w:val="24"/>
          <w:szCs w:val="24"/>
          <w:lang w:val="zh-CN"/>
        </w:rPr>
        <w:t>。询价响应文件的正本需打印或用不褪色的墨水填写。正本与副本内容不一致的，以正本为准。</w:t>
      </w:r>
    </w:p>
    <w:p w14:paraId="2D783488">
      <w:pPr>
        <w:pStyle w:val="7"/>
        <w:keepNext w:val="0"/>
        <w:keepLines w:val="0"/>
        <w:tabs>
          <w:tab w:val="left" w:pos="105"/>
          <w:tab w:val="left" w:pos="2940"/>
          <w:tab w:val="clear" w:pos="1008"/>
        </w:tabs>
        <w:snapToGrid w:val="0"/>
        <w:spacing w:before="0" w:after="0" w:line="360" w:lineRule="auto"/>
        <w:ind w:left="0" w:firstLine="480" w:firstLineChars="200"/>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rPr>
        <w:t xml:space="preserve">14.3 </w:t>
      </w:r>
      <w:r>
        <w:rPr>
          <w:rFonts w:hint="eastAsia" w:ascii="宋体" w:hAnsi="宋体" w:eastAsia="宋体" w:cs="宋体"/>
          <w:b w:val="0"/>
          <w:bCs w:val="0"/>
          <w:kern w:val="0"/>
          <w:sz w:val="24"/>
          <w:szCs w:val="24"/>
          <w:lang w:eastAsia="zh-CN"/>
        </w:rPr>
        <w:t>询价</w:t>
      </w:r>
      <w:r>
        <w:rPr>
          <w:rFonts w:hint="eastAsia" w:ascii="宋体" w:hAnsi="宋体" w:eastAsia="宋体" w:cs="宋体"/>
          <w:b w:val="0"/>
          <w:bCs w:val="0"/>
          <w:kern w:val="0"/>
          <w:sz w:val="24"/>
          <w:szCs w:val="24"/>
          <w:lang w:val="zh-CN"/>
        </w:rPr>
        <w:t>响应文件须由供应商在规定位置盖公章并由法定代表人或法定代表授权人签署，供应商应写全称。</w:t>
      </w:r>
    </w:p>
    <w:p w14:paraId="1919FC98">
      <w:pPr>
        <w:pStyle w:val="7"/>
        <w:keepNext w:val="0"/>
        <w:keepLines w:val="0"/>
        <w:tabs>
          <w:tab w:val="left" w:pos="105"/>
          <w:tab w:val="clear" w:pos="1008"/>
        </w:tabs>
        <w:snapToGrid w:val="0"/>
        <w:spacing w:before="0" w:after="0" w:line="360" w:lineRule="auto"/>
        <w:ind w:left="0" w:firstLine="480" w:firstLineChars="200"/>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rPr>
        <w:t xml:space="preserve">14.4 </w:t>
      </w:r>
      <w:r>
        <w:rPr>
          <w:rFonts w:hint="eastAsia" w:ascii="宋体" w:hAnsi="宋体" w:eastAsia="宋体" w:cs="宋体"/>
          <w:b w:val="0"/>
          <w:bCs w:val="0"/>
          <w:kern w:val="0"/>
          <w:sz w:val="24"/>
          <w:szCs w:val="24"/>
          <w:lang w:val="zh-CN"/>
        </w:rPr>
        <w:t>响应文件不得涂改，若有修改错漏处，须加盖单位公章或者法定代表人或委托代理人签字或盖章。询价响应文件因字迹潦草或表达不清所引起的后果由供应商负责。</w:t>
      </w:r>
    </w:p>
    <w:p w14:paraId="3F81A1FF">
      <w:pPr>
        <w:pStyle w:val="7"/>
        <w:keepNext w:val="0"/>
        <w:keepLines w:val="0"/>
        <w:tabs>
          <w:tab w:val="left" w:pos="105"/>
          <w:tab w:val="center" w:pos="4535"/>
          <w:tab w:val="clear" w:pos="1008"/>
        </w:tabs>
        <w:snapToGrid w:val="0"/>
        <w:spacing w:before="0" w:after="0" w:line="360" w:lineRule="auto"/>
        <w:rPr>
          <w:rFonts w:hint="eastAsia" w:ascii="宋体" w:hAnsi="宋体" w:eastAsia="宋体" w:cs="宋体"/>
          <w:bCs w:val="0"/>
          <w:sz w:val="24"/>
          <w:szCs w:val="24"/>
        </w:rPr>
      </w:pPr>
      <w:r>
        <w:rPr>
          <w:rFonts w:hint="eastAsia" w:ascii="宋体" w:hAnsi="宋体" w:eastAsia="宋体" w:cs="宋体"/>
          <w:bCs w:val="0"/>
          <w:sz w:val="24"/>
          <w:szCs w:val="24"/>
        </w:rPr>
        <w:t>15.</w:t>
      </w:r>
      <w:r>
        <w:rPr>
          <w:rFonts w:hint="eastAsia" w:ascii="宋体" w:hAnsi="宋体" w:eastAsia="宋体" w:cs="宋体"/>
          <w:bCs w:val="0"/>
          <w:sz w:val="24"/>
          <w:szCs w:val="24"/>
          <w:lang w:val="zh-CN"/>
        </w:rPr>
        <w:t>响应文件的包装、递交</w:t>
      </w:r>
      <w:r>
        <w:rPr>
          <w:rFonts w:hint="eastAsia" w:ascii="宋体" w:hAnsi="宋体" w:eastAsia="宋体" w:cs="宋体"/>
          <w:bCs w:val="0"/>
          <w:sz w:val="24"/>
          <w:szCs w:val="24"/>
          <w:lang w:val="zh-CN"/>
        </w:rPr>
        <w:tab/>
      </w:r>
      <w:r>
        <w:rPr>
          <w:rFonts w:hint="eastAsia" w:ascii="宋体" w:hAnsi="宋体" w:eastAsia="宋体" w:cs="宋体"/>
          <w:bCs w:val="0"/>
          <w:sz w:val="24"/>
          <w:szCs w:val="24"/>
        </w:rPr>
        <w:t xml:space="preserve">                             </w:t>
      </w:r>
    </w:p>
    <w:p w14:paraId="5AECF424">
      <w:pPr>
        <w:pStyle w:val="7"/>
        <w:keepNext w:val="0"/>
        <w:keepLines w:val="0"/>
        <w:tabs>
          <w:tab w:val="left" w:pos="105"/>
          <w:tab w:val="center" w:pos="4535"/>
          <w:tab w:val="clear" w:pos="1008"/>
        </w:tabs>
        <w:snapToGrid w:val="0"/>
        <w:spacing w:before="0" w:after="0" w:line="360" w:lineRule="auto"/>
        <w:ind w:left="0" w:firstLine="480" w:firstLineChars="200"/>
        <w:rPr>
          <w:rFonts w:hint="eastAsia" w:ascii="宋体" w:hAnsi="宋体" w:eastAsia="宋体" w:cs="宋体"/>
          <w:b w:val="0"/>
          <w:bCs w:val="0"/>
          <w:kern w:val="0"/>
          <w:sz w:val="24"/>
          <w:szCs w:val="24"/>
          <w:lang w:val="zh-CN"/>
        </w:rPr>
      </w:pPr>
      <w:r>
        <w:rPr>
          <w:rFonts w:hint="eastAsia" w:ascii="宋体" w:hAnsi="宋体" w:eastAsia="宋体" w:cs="宋体"/>
          <w:b w:val="0"/>
          <w:bCs w:val="0"/>
          <w:kern w:val="0"/>
          <w:sz w:val="24"/>
          <w:szCs w:val="24"/>
        </w:rPr>
        <w:t>15.1</w:t>
      </w:r>
      <w:r>
        <w:rPr>
          <w:rFonts w:hint="eastAsia" w:ascii="宋体" w:hAnsi="宋体" w:eastAsia="宋体" w:cs="宋体"/>
          <w:b w:val="0"/>
          <w:bCs w:val="0"/>
          <w:kern w:val="0"/>
          <w:sz w:val="24"/>
          <w:szCs w:val="24"/>
          <w:lang w:val="zh-CN"/>
        </w:rPr>
        <w:t>供应商应按</w:t>
      </w:r>
      <w:r>
        <w:rPr>
          <w:rFonts w:hint="eastAsia" w:ascii="宋体" w:hAnsi="宋体" w:eastAsia="宋体" w:cs="宋体"/>
          <w:b w:val="0"/>
          <w:bCs w:val="0"/>
          <w:kern w:val="0"/>
          <w:sz w:val="24"/>
          <w:szCs w:val="24"/>
        </w:rPr>
        <w:t>资格文件、</w:t>
      </w:r>
      <w:r>
        <w:rPr>
          <w:rFonts w:hint="eastAsia" w:ascii="宋体" w:hAnsi="宋体" w:eastAsia="宋体" w:cs="宋体"/>
          <w:b w:val="0"/>
          <w:bCs w:val="0"/>
          <w:kern w:val="0"/>
          <w:sz w:val="24"/>
          <w:szCs w:val="24"/>
          <w:lang w:eastAsia="zh-CN"/>
        </w:rPr>
        <w:t>报价</w:t>
      </w:r>
      <w:r>
        <w:rPr>
          <w:rFonts w:hint="eastAsia" w:ascii="宋体" w:hAnsi="宋体" w:eastAsia="宋体" w:cs="宋体"/>
          <w:b w:val="0"/>
          <w:bCs w:val="0"/>
          <w:kern w:val="0"/>
          <w:sz w:val="24"/>
          <w:szCs w:val="24"/>
          <w:lang w:val="zh-CN"/>
        </w:rPr>
        <w:t>文件两部分分别密封封装询价响应文件，[参照《询价响应文件外层包装封面格式》（见附件）的要求]在包装封面上注明供应商名称、供应商地址、询价响应文件名称（</w:t>
      </w:r>
      <w:r>
        <w:rPr>
          <w:rFonts w:hint="eastAsia" w:ascii="宋体" w:hAnsi="宋体" w:eastAsia="宋体" w:cs="宋体"/>
          <w:b w:val="0"/>
          <w:bCs w:val="0"/>
          <w:kern w:val="0"/>
          <w:sz w:val="24"/>
          <w:szCs w:val="24"/>
        </w:rPr>
        <w:t>资格文件</w:t>
      </w:r>
      <w:r>
        <w:rPr>
          <w:rFonts w:hint="eastAsia" w:ascii="宋体" w:hAnsi="宋体" w:eastAsia="宋体" w:cs="宋体"/>
          <w:b w:val="0"/>
          <w:bCs w:val="0"/>
          <w:kern w:val="0"/>
          <w:sz w:val="24"/>
          <w:szCs w:val="24"/>
          <w:lang w:val="zh-CN"/>
        </w:rPr>
        <w:t>、报价文件等）、项目名称、项目编号等内容，并加盖供应商公章。</w:t>
      </w:r>
    </w:p>
    <w:p w14:paraId="36EC243C">
      <w:pPr>
        <w:pStyle w:val="7"/>
        <w:tabs>
          <w:tab w:val="left" w:pos="105"/>
          <w:tab w:val="clear" w:pos="1008"/>
        </w:tabs>
        <w:adjustRightInd/>
        <w:snapToGrid w:val="0"/>
        <w:spacing w:before="0" w:after="0" w:line="360" w:lineRule="auto"/>
        <w:ind w:left="0" w:firstLine="480" w:firstLineChars="200"/>
        <w:rPr>
          <w:rFonts w:hint="eastAsia" w:ascii="宋体" w:hAnsi="宋体" w:eastAsia="宋体" w:cs="宋体"/>
          <w:b/>
          <w:szCs w:val="24"/>
          <w:lang w:eastAsia="zh-CN"/>
        </w:rPr>
      </w:pPr>
      <w:r>
        <w:rPr>
          <w:rFonts w:hint="eastAsia" w:ascii="宋体" w:hAnsi="宋体" w:eastAsia="宋体" w:cs="宋体"/>
          <w:b w:val="0"/>
          <w:bCs w:val="0"/>
          <w:kern w:val="0"/>
          <w:sz w:val="24"/>
          <w:szCs w:val="24"/>
        </w:rPr>
        <w:t xml:space="preserve">15.2 </w:t>
      </w:r>
      <w:r>
        <w:rPr>
          <w:rFonts w:hint="eastAsia" w:ascii="宋体" w:hAnsi="宋体" w:eastAsia="宋体" w:cs="宋体"/>
          <w:b w:val="0"/>
          <w:bCs w:val="0"/>
          <w:kern w:val="0"/>
          <w:sz w:val="24"/>
          <w:szCs w:val="24"/>
          <w:lang w:val="zh-CN"/>
        </w:rPr>
        <w:t>未按规定密封或标记的询价响应文件将有可能被拒绝，由此造成询价响应文件被误投或提前拆封的风险由供应商承担。</w:t>
      </w:r>
    </w:p>
    <w:p w14:paraId="68617FB8">
      <w:pPr>
        <w:pStyle w:val="135"/>
        <w:spacing w:before="0"/>
        <w:ind w:firstLine="0" w:firstLineChars="0"/>
        <w:rPr>
          <w:rFonts w:hint="eastAsia" w:ascii="宋体" w:hAnsi="宋体" w:eastAsia="宋体" w:cs="宋体"/>
          <w:b/>
          <w:szCs w:val="24"/>
        </w:rPr>
      </w:pPr>
      <w:r>
        <w:rPr>
          <w:rFonts w:hint="eastAsia" w:ascii="宋体" w:hAnsi="宋体" w:eastAsia="宋体" w:cs="宋体"/>
          <w:b/>
          <w:szCs w:val="24"/>
        </w:rPr>
        <w:t>16.投标文件的无效处理</w:t>
      </w:r>
    </w:p>
    <w:p w14:paraId="220757FB">
      <w:pPr>
        <w:pStyle w:val="30"/>
        <w:spacing w:line="360" w:lineRule="auto"/>
        <w:ind w:firstLine="360" w:firstLineChars="150"/>
        <w:rPr>
          <w:rFonts w:hint="eastAsia" w:ascii="宋体" w:hAnsi="宋体" w:eastAsia="宋体" w:cs="宋体"/>
          <w:szCs w:val="21"/>
        </w:rPr>
      </w:pPr>
      <w:r>
        <w:rPr>
          <w:rFonts w:hint="eastAsia" w:ascii="宋体" w:hAnsi="宋体" w:eastAsia="宋体" w:cs="宋体"/>
          <w:szCs w:val="21"/>
        </w:rPr>
        <w:t>有招标文件第四部分</w:t>
      </w:r>
      <w:r>
        <w:rPr>
          <w:rFonts w:hint="eastAsia" w:ascii="宋体" w:hAnsi="宋体" w:eastAsia="宋体" w:cs="宋体"/>
        </w:rPr>
        <w:t>第</w:t>
      </w:r>
      <w:r>
        <w:rPr>
          <w:rFonts w:hint="eastAsia" w:ascii="宋体" w:hAnsi="宋体" w:eastAsia="宋体" w:cs="宋体"/>
          <w:lang w:eastAsia="zh-CN"/>
        </w:rPr>
        <w:t>六</w:t>
      </w:r>
      <w:r>
        <w:rPr>
          <w:rFonts w:hint="eastAsia" w:ascii="宋体" w:hAnsi="宋体" w:eastAsia="宋体" w:cs="宋体"/>
        </w:rPr>
        <w:t>项规定</w:t>
      </w:r>
      <w:r>
        <w:rPr>
          <w:rFonts w:hint="eastAsia" w:ascii="宋体" w:hAnsi="宋体" w:eastAsia="宋体" w:cs="宋体"/>
          <w:szCs w:val="21"/>
        </w:rPr>
        <w:t>的情形之一的，投标无效：</w:t>
      </w:r>
    </w:p>
    <w:p w14:paraId="50489BBD">
      <w:pPr>
        <w:pStyle w:val="135"/>
        <w:spacing w:before="0"/>
        <w:ind w:firstLine="0" w:firstLineChars="0"/>
        <w:rPr>
          <w:rFonts w:hint="eastAsia" w:ascii="宋体" w:hAnsi="宋体" w:eastAsia="宋体" w:cs="宋体"/>
          <w:b/>
          <w:szCs w:val="24"/>
        </w:rPr>
      </w:pPr>
      <w:r>
        <w:rPr>
          <w:rFonts w:hint="eastAsia" w:ascii="宋体" w:hAnsi="宋体" w:eastAsia="宋体" w:cs="宋体"/>
          <w:b/>
          <w:szCs w:val="24"/>
        </w:rPr>
        <w:t>17.投标有效期</w:t>
      </w:r>
    </w:p>
    <w:p w14:paraId="55B5887A">
      <w:pPr>
        <w:spacing w:line="360" w:lineRule="auto"/>
        <w:ind w:firstLine="480" w:firstLineChars="200"/>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cs="宋体"/>
          <w:b/>
          <w:sz w:val="24"/>
          <w:szCs w:val="20"/>
          <w:lang w:eastAsia="zh-CN"/>
        </w:rPr>
        <w:t>投标单位</w:t>
      </w:r>
      <w:r>
        <w:rPr>
          <w:rFonts w:hint="eastAsia" w:ascii="宋体" w:hAnsi="宋体" w:eastAsia="宋体" w:cs="宋体"/>
          <w:b/>
          <w:sz w:val="24"/>
          <w:szCs w:val="20"/>
        </w:rPr>
        <w:t>的投标文件中承</w:t>
      </w:r>
      <w:r>
        <w:rPr>
          <w:rFonts w:hint="eastAsia" w:ascii="宋体" w:hAnsi="宋体" w:eastAsia="宋体" w:cs="宋体"/>
          <w:b/>
          <w:sz w:val="24"/>
          <w:szCs w:val="21"/>
        </w:rPr>
        <w:t>诺的投标有效期少于招标文件中载明的投标有效期的，投标无效。</w:t>
      </w:r>
    </w:p>
    <w:p w14:paraId="61A9D7B8">
      <w:pPr>
        <w:pStyle w:val="135"/>
        <w:spacing w:before="0"/>
        <w:ind w:firstLine="480"/>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7A0C04D8">
      <w:pPr>
        <w:pStyle w:val="135"/>
        <w:spacing w:before="0"/>
        <w:ind w:firstLine="480"/>
        <w:rPr>
          <w:rFonts w:hint="eastAsia" w:ascii="宋体" w:hAnsi="宋体" w:eastAsia="宋体" w:cs="宋体"/>
        </w:rPr>
      </w:pPr>
      <w:r>
        <w:rPr>
          <w:rFonts w:hint="eastAsia" w:ascii="宋体" w:hAnsi="宋体" w:eastAsia="宋体" w:cs="宋体"/>
        </w:rPr>
        <w:t>17.3在原定投标有效期满之前，如果出现特殊情况，采购机构可以以书面形式通知</w:t>
      </w:r>
      <w:r>
        <w:rPr>
          <w:rFonts w:hint="eastAsia" w:ascii="宋体" w:hAnsi="宋体" w:cs="宋体"/>
          <w:lang w:eastAsia="zh-CN"/>
        </w:rPr>
        <w:t>投标单位</w:t>
      </w:r>
      <w:r>
        <w:rPr>
          <w:rFonts w:hint="eastAsia" w:ascii="宋体" w:hAnsi="宋体" w:eastAsia="宋体" w:cs="宋体"/>
        </w:rPr>
        <w:t>延长投标有效期。</w:t>
      </w:r>
      <w:r>
        <w:rPr>
          <w:rFonts w:hint="eastAsia" w:ascii="宋体" w:hAnsi="宋体" w:cs="宋体"/>
          <w:lang w:eastAsia="zh-CN"/>
        </w:rPr>
        <w:t>投标单位</w:t>
      </w:r>
      <w:r>
        <w:rPr>
          <w:rFonts w:hint="eastAsia" w:ascii="宋体" w:hAnsi="宋体" w:eastAsia="宋体" w:cs="宋体"/>
        </w:rPr>
        <w:t>同意延长的，不得要求或被允许修改其投标文件，</w:t>
      </w:r>
      <w:r>
        <w:rPr>
          <w:rFonts w:hint="eastAsia" w:ascii="宋体" w:hAnsi="宋体" w:cs="宋体"/>
          <w:lang w:eastAsia="zh-CN"/>
        </w:rPr>
        <w:t>投标单位</w:t>
      </w:r>
      <w:r>
        <w:rPr>
          <w:rFonts w:hint="eastAsia" w:ascii="宋体" w:hAnsi="宋体" w:eastAsia="宋体" w:cs="宋体"/>
        </w:rPr>
        <w:t>拒绝延长的，其投标无效。</w:t>
      </w:r>
    </w:p>
    <w:p w14:paraId="09EE8B8F">
      <w:pPr>
        <w:pStyle w:val="135"/>
        <w:spacing w:before="0"/>
        <w:ind w:firstLine="480"/>
        <w:rPr>
          <w:rFonts w:hint="eastAsia" w:ascii="宋体" w:hAnsi="宋体" w:eastAsia="宋体" w:cs="宋体"/>
        </w:rPr>
      </w:pPr>
    </w:p>
    <w:p w14:paraId="0A3D0896">
      <w:pPr>
        <w:pStyle w:val="135"/>
        <w:spacing w:before="0"/>
        <w:ind w:firstLine="1928" w:firstLineChars="600"/>
        <w:rPr>
          <w:rFonts w:hint="eastAsia" w:ascii="宋体" w:hAnsi="宋体" w:eastAsia="宋体" w:cs="宋体"/>
          <w:b/>
          <w:sz w:val="32"/>
        </w:rPr>
      </w:pPr>
      <w:r>
        <w:rPr>
          <w:rFonts w:hint="eastAsia" w:ascii="宋体" w:hAnsi="宋体" w:eastAsia="宋体" w:cs="宋体"/>
          <w:b/>
          <w:sz w:val="32"/>
        </w:rPr>
        <w:t>四、开标、资格审查与信用信息查询</w:t>
      </w:r>
    </w:p>
    <w:p w14:paraId="776598AB">
      <w:pPr>
        <w:pStyle w:val="558"/>
        <w:spacing w:before="0" w:line="360" w:lineRule="auto"/>
        <w:ind w:left="0" w:leftChars="0" w:firstLine="0" w:firstLineChars="0"/>
        <w:contextualSpacing/>
        <w:rPr>
          <w:rFonts w:hint="eastAsia" w:ascii="宋体" w:hAnsi="宋体" w:eastAsia="宋体" w:cs="宋体"/>
          <w:sz w:val="24"/>
        </w:rPr>
      </w:pPr>
      <w:r>
        <w:rPr>
          <w:rFonts w:hint="eastAsia" w:ascii="宋体" w:hAnsi="宋体" w:eastAsia="宋体" w:cs="宋体"/>
          <w:b/>
          <w:sz w:val="24"/>
          <w:szCs w:val="24"/>
        </w:rPr>
        <w:t>18.开标</w:t>
      </w:r>
      <w:r>
        <w:rPr>
          <w:rFonts w:hint="eastAsia" w:ascii="宋体" w:hAnsi="宋体" w:eastAsia="宋体" w:cs="宋体"/>
          <w:sz w:val="24"/>
        </w:rPr>
        <w:t xml:space="preserve"> </w:t>
      </w:r>
    </w:p>
    <w:p w14:paraId="463A903F">
      <w:pPr>
        <w:pStyle w:val="558"/>
        <w:spacing w:before="0" w:line="360" w:lineRule="auto"/>
        <w:ind w:left="0" w:firstLine="480" w:firstLineChars="200"/>
        <w:contextualSpacing/>
        <w:rPr>
          <w:rFonts w:hint="eastAsia" w:ascii="宋体" w:hAnsi="宋体" w:eastAsia="宋体" w:cs="宋体"/>
          <w:sz w:val="24"/>
        </w:rPr>
      </w:pPr>
      <w:r>
        <w:rPr>
          <w:rFonts w:hint="eastAsia" w:ascii="宋体" w:hAnsi="宋体" w:eastAsia="宋体" w:cs="宋体"/>
          <w:sz w:val="24"/>
        </w:rPr>
        <w:t>采购机构按照</w:t>
      </w:r>
      <w:r>
        <w:rPr>
          <w:rFonts w:hint="eastAsia" w:ascii="宋体" w:hAnsi="宋体" w:eastAsia="宋体" w:cs="宋体"/>
          <w:sz w:val="24"/>
          <w:lang w:eastAsia="zh-CN"/>
        </w:rPr>
        <w:t>询价</w:t>
      </w:r>
      <w:r>
        <w:rPr>
          <w:rFonts w:hint="eastAsia" w:ascii="宋体" w:hAnsi="宋体" w:eastAsia="宋体" w:cs="宋体"/>
          <w:sz w:val="24"/>
        </w:rPr>
        <w:t>响应文件规定的时间组织开标，</w:t>
      </w:r>
      <w:r>
        <w:rPr>
          <w:rFonts w:hint="eastAsia" w:ascii="宋体" w:hAnsi="宋体" w:cs="宋体"/>
          <w:sz w:val="24"/>
          <w:lang w:eastAsia="zh-CN"/>
        </w:rPr>
        <w:t>投标单位</w:t>
      </w:r>
      <w:r>
        <w:rPr>
          <w:rFonts w:hint="eastAsia" w:ascii="宋体" w:hAnsi="宋体" w:eastAsia="宋体" w:cs="宋体"/>
          <w:sz w:val="24"/>
        </w:rPr>
        <w:t>不足3家的，不得开标。</w:t>
      </w:r>
    </w:p>
    <w:p w14:paraId="5F35D8FF">
      <w:pPr>
        <w:widowControl/>
        <w:spacing w:before="100" w:beforeAutospacing="1" w:after="240" w:line="360" w:lineRule="auto"/>
        <w:jc w:val="left"/>
        <w:rPr>
          <w:rFonts w:hint="eastAsia" w:ascii="宋体" w:hAnsi="宋体" w:eastAsia="宋体" w:cs="宋体"/>
          <w:b/>
          <w:sz w:val="24"/>
          <w:szCs w:val="20"/>
        </w:rPr>
      </w:pPr>
      <w:r>
        <w:rPr>
          <w:rFonts w:hint="eastAsia" w:ascii="宋体" w:hAnsi="宋体" w:eastAsia="宋体" w:cs="宋体"/>
          <w:b/>
          <w:sz w:val="24"/>
          <w:szCs w:val="20"/>
        </w:rPr>
        <w:t>19、资格审查</w:t>
      </w:r>
    </w:p>
    <w:p w14:paraId="536E5F1D">
      <w:pPr>
        <w:pStyle w:val="135"/>
        <w:spacing w:before="0"/>
        <w:ind w:firstLine="480"/>
        <w:rPr>
          <w:rFonts w:hint="eastAsia" w:ascii="宋体" w:hAnsi="宋体" w:eastAsia="宋体" w:cs="宋体"/>
          <w:kern w:val="0"/>
          <w:szCs w:val="24"/>
        </w:rPr>
      </w:pPr>
      <w:r>
        <w:rPr>
          <w:rFonts w:hint="eastAsia" w:ascii="宋体" w:hAnsi="宋体" w:eastAsia="宋体" w:cs="宋体"/>
          <w:kern w:val="0"/>
          <w:szCs w:val="24"/>
        </w:rPr>
        <w:t>19.1开标后，</w:t>
      </w:r>
      <w:r>
        <w:rPr>
          <w:rFonts w:hint="eastAsia" w:ascii="宋体" w:hAnsi="宋体" w:cs="宋体"/>
          <w:kern w:val="0"/>
          <w:szCs w:val="24"/>
          <w:lang w:eastAsia="zh-CN"/>
        </w:rPr>
        <w:t>采购单位</w:t>
      </w:r>
      <w:r>
        <w:rPr>
          <w:rFonts w:hint="eastAsia" w:ascii="宋体" w:hAnsi="宋体" w:eastAsia="宋体" w:cs="宋体"/>
          <w:kern w:val="0"/>
          <w:szCs w:val="24"/>
        </w:rPr>
        <w:t>或采购机构将依法对</w:t>
      </w:r>
      <w:r>
        <w:rPr>
          <w:rFonts w:hint="eastAsia" w:ascii="宋体" w:hAnsi="宋体" w:cs="宋体"/>
          <w:kern w:val="0"/>
          <w:szCs w:val="24"/>
          <w:lang w:eastAsia="zh-CN"/>
        </w:rPr>
        <w:t>投标单位</w:t>
      </w:r>
      <w:r>
        <w:rPr>
          <w:rFonts w:hint="eastAsia" w:ascii="宋体" w:hAnsi="宋体" w:eastAsia="宋体" w:cs="宋体"/>
          <w:kern w:val="0"/>
          <w:szCs w:val="24"/>
        </w:rPr>
        <w:t>的资格进行审查。</w:t>
      </w:r>
    </w:p>
    <w:p w14:paraId="27892E91">
      <w:pPr>
        <w:snapToGrid w:val="0"/>
        <w:spacing w:line="360" w:lineRule="auto"/>
        <w:ind w:firstLine="480" w:firstLineChars="200"/>
        <w:rPr>
          <w:rFonts w:hint="eastAsia" w:ascii="宋体" w:hAnsi="宋体" w:eastAsia="宋体" w:cs="宋体"/>
          <w:sz w:val="24"/>
        </w:rPr>
      </w:pPr>
      <w:r>
        <w:rPr>
          <w:rFonts w:hint="eastAsia" w:ascii="宋体" w:hAnsi="宋体" w:eastAsia="宋体" w:cs="宋体"/>
          <w:kern w:val="0"/>
          <w:sz w:val="24"/>
        </w:rPr>
        <w:t>19.2</w:t>
      </w:r>
      <w:r>
        <w:rPr>
          <w:rFonts w:hint="eastAsia" w:ascii="宋体" w:hAnsi="宋体" w:cs="宋体"/>
          <w:sz w:val="24"/>
          <w:lang w:eastAsia="zh-CN"/>
        </w:rPr>
        <w:t>采购单位</w:t>
      </w:r>
      <w:r>
        <w:rPr>
          <w:rFonts w:hint="eastAsia" w:ascii="宋体" w:hAnsi="宋体" w:eastAsia="宋体" w:cs="宋体"/>
          <w:sz w:val="24"/>
        </w:rPr>
        <w:t>或采购机构依据法律法规和招标文件的规定，对</w:t>
      </w:r>
      <w:r>
        <w:rPr>
          <w:rFonts w:hint="eastAsia" w:ascii="宋体" w:hAnsi="宋体" w:cs="宋体"/>
          <w:sz w:val="24"/>
          <w:lang w:eastAsia="zh-CN"/>
        </w:rPr>
        <w:t>投标单位</w:t>
      </w:r>
      <w:r>
        <w:rPr>
          <w:rFonts w:hint="eastAsia" w:ascii="宋体" w:hAnsi="宋体" w:eastAsia="宋体" w:cs="宋体"/>
          <w:sz w:val="24"/>
        </w:rPr>
        <w:t>的基本资格条件、特定资格条件进行审查。</w:t>
      </w:r>
    </w:p>
    <w:p w14:paraId="564EF476">
      <w:pPr>
        <w:pStyle w:val="135"/>
        <w:spacing w:before="0"/>
        <w:ind w:firstLine="480"/>
        <w:rPr>
          <w:rFonts w:hint="eastAsia" w:ascii="宋体" w:hAnsi="宋体" w:eastAsia="宋体" w:cs="宋体"/>
        </w:rPr>
      </w:pPr>
      <w:r>
        <w:rPr>
          <w:rFonts w:hint="eastAsia" w:ascii="宋体" w:hAnsi="宋体" w:eastAsia="宋体" w:cs="宋体"/>
          <w:kern w:val="0"/>
          <w:szCs w:val="24"/>
        </w:rPr>
        <w:t>19.3</w:t>
      </w:r>
      <w:r>
        <w:rPr>
          <w:rFonts w:hint="eastAsia" w:ascii="宋体" w:hAnsi="宋体" w:cs="宋体"/>
          <w:kern w:val="0"/>
          <w:szCs w:val="24"/>
          <w:lang w:eastAsia="zh-CN"/>
        </w:rPr>
        <w:t>投标单位</w:t>
      </w:r>
      <w:r>
        <w:rPr>
          <w:rFonts w:hint="eastAsia" w:ascii="宋体" w:hAnsi="宋体" w:eastAsia="宋体" w:cs="宋体"/>
          <w:kern w:val="0"/>
          <w:szCs w:val="24"/>
        </w:rPr>
        <w:t>未按照招标文件要求提供与</w:t>
      </w:r>
      <w:r>
        <w:rPr>
          <w:rFonts w:hint="eastAsia" w:ascii="宋体" w:hAnsi="宋体" w:eastAsia="宋体" w:cs="宋体"/>
        </w:rPr>
        <w:t>基本资格条件、特定资格条件相应的</w:t>
      </w:r>
      <w:r>
        <w:rPr>
          <w:rFonts w:hint="eastAsia" w:ascii="宋体" w:hAnsi="宋体" w:eastAsia="宋体" w:cs="宋体"/>
          <w:kern w:val="0"/>
          <w:szCs w:val="24"/>
        </w:rPr>
        <w:t>有效资格证明材料的，视为</w:t>
      </w:r>
      <w:r>
        <w:rPr>
          <w:rFonts w:hint="eastAsia" w:ascii="宋体" w:hAnsi="宋体" w:cs="宋体"/>
          <w:lang w:eastAsia="zh-CN"/>
        </w:rPr>
        <w:t>投标单位</w:t>
      </w:r>
      <w:r>
        <w:rPr>
          <w:rFonts w:hint="eastAsia" w:ascii="宋体" w:hAnsi="宋体" w:eastAsia="宋体" w:cs="宋体"/>
        </w:rPr>
        <w:t>不具备招标文件中规定的资格要求，其投标无效。</w:t>
      </w:r>
    </w:p>
    <w:p w14:paraId="0EB65160">
      <w:pPr>
        <w:pStyle w:val="135"/>
        <w:spacing w:before="0"/>
        <w:ind w:firstLine="480"/>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w:t>
      </w:r>
      <w:r>
        <w:rPr>
          <w:rFonts w:hint="eastAsia" w:ascii="宋体" w:hAnsi="宋体" w:cs="宋体"/>
          <w:lang w:eastAsia="zh-CN"/>
        </w:rPr>
        <w:t>投标单位</w:t>
      </w:r>
      <w:r>
        <w:rPr>
          <w:rFonts w:hint="eastAsia" w:ascii="宋体" w:hAnsi="宋体" w:eastAsia="宋体" w:cs="宋体"/>
        </w:rPr>
        <w:t>，</w:t>
      </w:r>
      <w:r>
        <w:rPr>
          <w:rFonts w:hint="eastAsia" w:ascii="宋体" w:hAnsi="宋体" w:cs="宋体"/>
          <w:lang w:eastAsia="zh-CN"/>
        </w:rPr>
        <w:t>采购单位</w:t>
      </w:r>
      <w:r>
        <w:rPr>
          <w:rFonts w:hint="eastAsia" w:ascii="宋体" w:hAnsi="宋体" w:eastAsia="宋体" w:cs="宋体"/>
        </w:rPr>
        <w:t>或采购机构告知其未通过的原因。</w:t>
      </w:r>
    </w:p>
    <w:p w14:paraId="12C2B727">
      <w:pPr>
        <w:pStyle w:val="135"/>
        <w:spacing w:before="0"/>
        <w:ind w:firstLine="0" w:firstLineChars="0"/>
        <w:rPr>
          <w:rFonts w:hint="eastAsia" w:ascii="宋体" w:hAnsi="宋体" w:eastAsia="宋体" w:cs="宋体"/>
          <w:b/>
          <w:szCs w:val="24"/>
        </w:rPr>
      </w:pPr>
      <w:r>
        <w:rPr>
          <w:rFonts w:hint="eastAsia" w:ascii="宋体" w:hAnsi="宋体" w:eastAsia="宋体" w:cs="宋体"/>
          <w:b/>
          <w:szCs w:val="24"/>
        </w:rPr>
        <w:t>20、信用信息查询</w:t>
      </w:r>
    </w:p>
    <w:p w14:paraId="78EEE34E">
      <w:pPr>
        <w:pStyle w:val="135"/>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20.1信用信息查询渠道及截止时间：采购机构将通过“信用中国”网站</w:t>
      </w:r>
      <w:r>
        <w:rPr>
          <w:rFonts w:hint="eastAsia" w:ascii="宋体" w:hAnsi="宋体" w:cs="宋体"/>
          <w:kern w:val="0"/>
          <w:szCs w:val="24"/>
          <w:lang w:eastAsia="zh-CN"/>
        </w:rPr>
        <w:t>（</w:t>
      </w:r>
      <w:r>
        <w:rPr>
          <w:rFonts w:hint="eastAsia" w:ascii="宋体" w:hAnsi="宋体" w:eastAsia="宋体" w:cs="宋体"/>
          <w:kern w:val="0"/>
          <w:szCs w:val="24"/>
        </w:rPr>
        <w:t>www.creditchina.gov.cn)、中国政府采购网</w:t>
      </w:r>
      <w:r>
        <w:rPr>
          <w:rFonts w:hint="eastAsia" w:ascii="宋体" w:hAnsi="宋体" w:cs="宋体"/>
          <w:kern w:val="0"/>
          <w:szCs w:val="24"/>
          <w:lang w:eastAsia="zh-CN"/>
        </w:rPr>
        <w:t>（</w:t>
      </w:r>
      <w:r>
        <w:rPr>
          <w:rFonts w:hint="eastAsia" w:ascii="宋体" w:hAnsi="宋体" w:eastAsia="宋体" w:cs="宋体"/>
          <w:kern w:val="0"/>
          <w:szCs w:val="24"/>
        </w:rPr>
        <w:t>www.ccgp.gov.cn</w:t>
      </w:r>
      <w:r>
        <w:rPr>
          <w:rFonts w:hint="eastAsia" w:ascii="宋体" w:hAnsi="宋体" w:cs="宋体"/>
          <w:kern w:val="0"/>
          <w:szCs w:val="24"/>
          <w:lang w:eastAsia="zh-CN"/>
        </w:rPr>
        <w:t>）</w:t>
      </w:r>
      <w:r>
        <w:rPr>
          <w:rFonts w:hint="eastAsia" w:ascii="宋体" w:hAnsi="宋体" w:eastAsia="宋体" w:cs="宋体"/>
          <w:kern w:val="0"/>
          <w:szCs w:val="24"/>
        </w:rPr>
        <w:t>渠道查询</w:t>
      </w:r>
      <w:r>
        <w:rPr>
          <w:rFonts w:hint="eastAsia" w:ascii="宋体" w:hAnsi="宋体" w:cs="宋体"/>
          <w:kern w:val="0"/>
          <w:szCs w:val="24"/>
          <w:lang w:eastAsia="zh-CN"/>
        </w:rPr>
        <w:t>投标单位</w:t>
      </w:r>
      <w:r>
        <w:rPr>
          <w:rFonts w:hint="eastAsia" w:ascii="宋体" w:hAnsi="宋体" w:eastAsia="宋体" w:cs="宋体"/>
          <w:kern w:val="0"/>
          <w:szCs w:val="24"/>
        </w:rPr>
        <w:t>投标截止时间当天的信用记录。</w:t>
      </w:r>
    </w:p>
    <w:p w14:paraId="0F136C07">
      <w:pPr>
        <w:pStyle w:val="135"/>
        <w:spacing w:before="0"/>
        <w:ind w:firstLine="495" w:firstLineChars="0"/>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w:t>
      </w:r>
      <w:r>
        <w:rPr>
          <w:rFonts w:hint="eastAsia" w:ascii="宋体" w:hAnsi="宋体" w:cs="宋体"/>
          <w:kern w:val="0"/>
          <w:szCs w:val="24"/>
          <w:lang w:eastAsia="zh-CN"/>
        </w:rPr>
        <w:t>投标单位</w:t>
      </w:r>
      <w:r>
        <w:rPr>
          <w:rFonts w:hint="eastAsia" w:ascii="宋体" w:hAnsi="宋体" w:eastAsia="宋体" w:cs="宋体"/>
          <w:kern w:val="0"/>
          <w:szCs w:val="24"/>
        </w:rPr>
        <w:t>的信用记录、查询结果经确认后将与采购文件一起存档。</w:t>
      </w:r>
    </w:p>
    <w:p w14:paraId="13E44186">
      <w:pPr>
        <w:pStyle w:val="135"/>
        <w:spacing w:before="0"/>
        <w:ind w:firstLine="495" w:firstLineChars="0"/>
        <w:rPr>
          <w:rFonts w:hint="eastAsia" w:ascii="宋体" w:hAnsi="宋体" w:eastAsia="宋体" w:cs="宋体"/>
          <w:b/>
          <w:sz w:val="36"/>
          <w:szCs w:val="36"/>
        </w:rPr>
      </w:pPr>
      <w:r>
        <w:rPr>
          <w:rFonts w:hint="eastAsia" w:ascii="宋体" w:hAnsi="宋体" w:eastAsia="宋体" w:cs="宋体"/>
          <w:kern w:val="0"/>
          <w:szCs w:val="24"/>
        </w:rPr>
        <w:t>20.3信用信息的使用规则：经查询列入失信被执行人名单、重大税收违法案件当事人名单、采购严重违法失信行为记录名单的</w:t>
      </w:r>
      <w:r>
        <w:rPr>
          <w:rFonts w:hint="eastAsia" w:ascii="宋体" w:hAnsi="宋体" w:cs="宋体"/>
          <w:kern w:val="0"/>
          <w:szCs w:val="24"/>
          <w:lang w:eastAsia="zh-CN"/>
        </w:rPr>
        <w:t>投标单位</w:t>
      </w:r>
      <w:r>
        <w:rPr>
          <w:rFonts w:hint="eastAsia" w:ascii="宋体" w:hAnsi="宋体" w:eastAsia="宋体" w:cs="宋体"/>
          <w:kern w:val="0"/>
          <w:szCs w:val="24"/>
        </w:rPr>
        <w:t>将被拒绝参与采购活动。</w:t>
      </w:r>
    </w:p>
    <w:p w14:paraId="68B73964">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351FABA0">
      <w:pPr>
        <w:spacing w:line="360" w:lineRule="auto"/>
        <w:rPr>
          <w:rFonts w:hint="eastAsia" w:ascii="宋体" w:hAnsi="宋体" w:eastAsia="宋体" w:cs="宋体"/>
          <w:b/>
          <w:sz w:val="24"/>
        </w:rPr>
      </w:pPr>
      <w:bookmarkStart w:id="10"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评标委员会将根据招标文件和有关规定，履行评标工作职责，并按照评标方法全面衡量各</w:t>
      </w:r>
      <w:r>
        <w:rPr>
          <w:rFonts w:hint="eastAsia" w:ascii="宋体" w:hAnsi="宋体" w:cs="宋体"/>
          <w:sz w:val="24"/>
          <w:lang w:eastAsia="zh-CN"/>
        </w:rPr>
        <w:t>投标单位</w:t>
      </w:r>
      <w:r>
        <w:rPr>
          <w:rFonts w:hint="eastAsia" w:ascii="宋体" w:hAnsi="宋体" w:eastAsia="宋体" w:cs="宋体"/>
          <w:sz w:val="24"/>
        </w:rPr>
        <w:t>对招标文件的响应情况。对实质上响应招标文件的</w:t>
      </w:r>
      <w:r>
        <w:rPr>
          <w:rFonts w:hint="eastAsia" w:ascii="宋体" w:hAnsi="宋体" w:cs="宋体"/>
          <w:sz w:val="24"/>
          <w:lang w:eastAsia="zh-CN"/>
        </w:rPr>
        <w:t>投标单位</w:t>
      </w:r>
      <w:r>
        <w:rPr>
          <w:rFonts w:hint="eastAsia" w:ascii="宋体" w:hAnsi="宋体" w:eastAsia="宋体" w:cs="宋体"/>
          <w:sz w:val="24"/>
        </w:rPr>
        <w:t>，</w:t>
      </w:r>
      <w:r>
        <w:rPr>
          <w:rFonts w:hint="eastAsia" w:ascii="宋体" w:hAnsi="宋体" w:eastAsia="宋体" w:cs="宋体"/>
          <w:sz w:val="24"/>
          <w:lang w:eastAsia="zh-CN"/>
        </w:rPr>
        <w:t>以有效报价最低的供应商确定为第一中标候选人。</w:t>
      </w:r>
      <w:r>
        <w:rPr>
          <w:rFonts w:hint="eastAsia" w:ascii="宋体" w:hAnsi="宋体" w:eastAsia="宋体" w:cs="宋体"/>
          <w:b/>
          <w:sz w:val="24"/>
        </w:rPr>
        <w:t>详见招标文件第四部分评标办法。</w:t>
      </w:r>
    </w:p>
    <w:p w14:paraId="3882F321">
      <w:pPr>
        <w:pStyle w:val="27"/>
        <w:rPr>
          <w:rFonts w:hint="eastAsia" w:ascii="宋体" w:hAnsi="宋体" w:eastAsia="宋体" w:cs="宋体"/>
        </w:rPr>
      </w:pPr>
    </w:p>
    <w:p w14:paraId="0DAFA4A6">
      <w:pPr>
        <w:snapToGrid w:val="0"/>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65B23666">
      <w:pPr>
        <w:pStyle w:val="30"/>
        <w:spacing w:line="360" w:lineRule="auto"/>
        <w:ind w:left="479" w:hanging="479" w:hangingChars="199"/>
        <w:rPr>
          <w:rFonts w:hint="eastAsia" w:ascii="宋体" w:hAnsi="宋体" w:eastAsia="宋体" w:cs="宋体"/>
          <w:b/>
          <w:lang w:eastAsia="zh-CN"/>
        </w:rPr>
      </w:pPr>
      <w:r>
        <w:rPr>
          <w:rFonts w:hint="eastAsia" w:ascii="宋体" w:hAnsi="宋体" w:eastAsia="宋体" w:cs="宋体"/>
          <w:b/>
        </w:rPr>
        <w:t>22. 确定</w:t>
      </w:r>
      <w:r>
        <w:rPr>
          <w:rFonts w:hint="eastAsia" w:cs="宋体"/>
          <w:b/>
          <w:lang w:eastAsia="zh-CN"/>
        </w:rPr>
        <w:t>中标单位</w:t>
      </w:r>
    </w:p>
    <w:p w14:paraId="5B8EF291">
      <w:pPr>
        <w:pStyle w:val="135"/>
        <w:snapToGrid w:val="0"/>
        <w:spacing w:before="0"/>
        <w:ind w:firstLine="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采购单位</w:t>
      </w:r>
      <w:r>
        <w:rPr>
          <w:rFonts w:hint="eastAsia" w:ascii="宋体" w:hAnsi="宋体" w:eastAsia="宋体" w:cs="宋体"/>
          <w:kern w:val="2"/>
          <w:sz w:val="24"/>
          <w:szCs w:val="24"/>
          <w:lang w:val="en-US" w:eastAsia="zh-CN" w:bidi="ar-SA"/>
        </w:rPr>
        <w:t>将自收到评审报告之日起3个工作日内在评审报告推荐的中标候选人中按顺序确定</w:t>
      </w:r>
      <w:r>
        <w:rPr>
          <w:rFonts w:hint="eastAsia" w:ascii="宋体" w:hAnsi="宋体" w:cs="宋体"/>
          <w:kern w:val="2"/>
          <w:sz w:val="24"/>
          <w:szCs w:val="24"/>
          <w:lang w:val="en-US" w:eastAsia="zh-CN" w:bidi="ar-SA"/>
        </w:rPr>
        <w:t>中标单位</w:t>
      </w:r>
      <w:r>
        <w:rPr>
          <w:rFonts w:hint="eastAsia" w:ascii="宋体" w:hAnsi="宋体" w:eastAsia="宋体" w:cs="宋体"/>
          <w:kern w:val="2"/>
          <w:sz w:val="24"/>
          <w:szCs w:val="24"/>
          <w:lang w:val="en-US" w:eastAsia="zh-CN" w:bidi="ar-SA"/>
        </w:rPr>
        <w:t>。</w:t>
      </w:r>
    </w:p>
    <w:p w14:paraId="720AB9FE">
      <w:pPr>
        <w:pStyle w:val="30"/>
        <w:spacing w:line="360" w:lineRule="auto"/>
        <w:ind w:left="479" w:hanging="479" w:hangingChars="199"/>
        <w:rPr>
          <w:rFonts w:hint="eastAsia" w:ascii="宋体" w:hAnsi="宋体" w:eastAsia="宋体" w:cs="宋体"/>
          <w:b/>
        </w:rPr>
      </w:pPr>
      <w:r>
        <w:rPr>
          <w:rFonts w:hint="eastAsia" w:ascii="宋体" w:hAnsi="宋体" w:eastAsia="宋体" w:cs="宋体"/>
          <w:b/>
        </w:rPr>
        <w:t>23. 中标通知与中标结果公告</w:t>
      </w:r>
    </w:p>
    <w:p w14:paraId="1AEEF893">
      <w:pPr>
        <w:pStyle w:val="135"/>
        <w:snapToGrid w:val="0"/>
        <w:spacing w:before="0"/>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23.1自</w:t>
      </w:r>
      <w:r>
        <w:rPr>
          <w:rFonts w:hint="eastAsia" w:ascii="宋体" w:hAnsi="宋体" w:cs="宋体"/>
          <w:kern w:val="2"/>
          <w:sz w:val="24"/>
          <w:szCs w:val="24"/>
          <w:lang w:val="en-US" w:eastAsia="zh-CN" w:bidi="ar-SA"/>
        </w:rPr>
        <w:t>中标单位</w:t>
      </w:r>
      <w:r>
        <w:rPr>
          <w:rFonts w:hint="eastAsia" w:ascii="宋体" w:hAnsi="宋体" w:eastAsia="宋体" w:cs="宋体"/>
          <w:kern w:val="2"/>
          <w:sz w:val="24"/>
          <w:szCs w:val="24"/>
          <w:lang w:val="en-US" w:eastAsia="zh-CN" w:bidi="ar-SA"/>
        </w:rPr>
        <w:t>确定之日起2个工作日内，采购机构向</w:t>
      </w:r>
      <w:r>
        <w:rPr>
          <w:rFonts w:hint="eastAsia" w:ascii="宋体" w:hAnsi="宋体" w:cs="宋体"/>
          <w:kern w:val="2"/>
          <w:sz w:val="24"/>
          <w:szCs w:val="24"/>
          <w:lang w:val="en-US" w:eastAsia="zh-CN" w:bidi="ar-SA"/>
        </w:rPr>
        <w:t>中标单位</w:t>
      </w:r>
      <w:r>
        <w:rPr>
          <w:rFonts w:hint="eastAsia" w:ascii="宋体" w:hAnsi="宋体" w:eastAsia="宋体" w:cs="宋体"/>
          <w:kern w:val="2"/>
          <w:sz w:val="24"/>
          <w:szCs w:val="24"/>
          <w:lang w:val="en-US" w:eastAsia="zh-CN" w:bidi="ar-SA"/>
        </w:rPr>
        <w:t>发出中标通知书，同时编制发布采购结果公告。采购机构也可以以纸质形式进行中标通知。</w:t>
      </w:r>
    </w:p>
    <w:p w14:paraId="7D7432D0">
      <w:pPr>
        <w:pStyle w:val="135"/>
        <w:snapToGrid w:val="0"/>
        <w:spacing w:before="0"/>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23.2中标结果公告内容包括</w:t>
      </w:r>
      <w:r>
        <w:rPr>
          <w:rFonts w:hint="eastAsia" w:ascii="宋体" w:hAnsi="宋体" w:cs="宋体"/>
          <w:kern w:val="2"/>
          <w:sz w:val="24"/>
          <w:szCs w:val="24"/>
          <w:lang w:val="en-US" w:eastAsia="zh-CN" w:bidi="ar-SA"/>
        </w:rPr>
        <w:t>采购单位</w:t>
      </w:r>
      <w:r>
        <w:rPr>
          <w:rFonts w:hint="eastAsia" w:ascii="宋体" w:hAnsi="宋体" w:eastAsia="宋体" w:cs="宋体"/>
          <w:kern w:val="2"/>
          <w:sz w:val="24"/>
          <w:szCs w:val="24"/>
          <w:lang w:val="en-US" w:eastAsia="zh-CN" w:bidi="ar-SA"/>
        </w:rPr>
        <w:t>及其委托的采购机构的名称、地址、联系方式，项目名称和项目编号，</w:t>
      </w:r>
      <w:r>
        <w:rPr>
          <w:rFonts w:hint="eastAsia" w:ascii="宋体" w:hAnsi="宋体" w:cs="宋体"/>
          <w:kern w:val="2"/>
          <w:sz w:val="24"/>
          <w:szCs w:val="24"/>
          <w:lang w:val="en-US" w:eastAsia="zh-CN" w:bidi="ar-SA"/>
        </w:rPr>
        <w:t>中标单位</w:t>
      </w:r>
      <w:r>
        <w:rPr>
          <w:rFonts w:hint="eastAsia" w:ascii="宋体" w:hAnsi="宋体" w:eastAsia="宋体" w:cs="宋体"/>
          <w:kern w:val="2"/>
          <w:sz w:val="24"/>
          <w:szCs w:val="24"/>
          <w:lang w:val="en-US" w:eastAsia="zh-CN" w:bidi="ar-SA"/>
        </w:rPr>
        <w:t>名称、地址和中标金额，主要中标标的的名称、规格型号、数量、单价、服务要求，开标记录、未中标情况说明、中标公告期限以及评审专家名单、评分汇总及明细。</w:t>
      </w:r>
    </w:p>
    <w:p w14:paraId="4B29680C">
      <w:pPr>
        <w:pStyle w:val="135"/>
        <w:snapToGrid w:val="0"/>
        <w:spacing w:before="0"/>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23.3公告期限为1个工作日。</w:t>
      </w:r>
    </w:p>
    <w:p w14:paraId="02ADB1BC">
      <w:pPr>
        <w:pStyle w:val="135"/>
        <w:snapToGrid w:val="0"/>
        <w:spacing w:before="0"/>
        <w:ind w:firstLine="480"/>
        <w:rPr>
          <w:rFonts w:hint="eastAsia" w:ascii="宋体" w:hAnsi="宋体" w:eastAsia="宋体" w:cs="宋体"/>
          <w:kern w:val="2"/>
          <w:sz w:val="24"/>
          <w:szCs w:val="24"/>
          <w:lang w:val="en-US" w:eastAsia="zh-CN" w:bidi="ar-SA"/>
        </w:rPr>
      </w:pPr>
    </w:p>
    <w:p w14:paraId="5D762ABD">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08742619">
      <w:pPr>
        <w:pStyle w:val="30"/>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1DE5E970">
      <w:pPr>
        <w:pStyle w:val="30"/>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14:paraId="2F2838BA">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w:t>
      </w:r>
      <w:r>
        <w:rPr>
          <w:rFonts w:hint="eastAsia" w:ascii="宋体" w:hAnsi="宋体" w:cs="宋体"/>
          <w:kern w:val="0"/>
          <w:sz w:val="24"/>
          <w:lang w:eastAsia="zh-CN"/>
        </w:rPr>
        <w:t>采购单位</w:t>
      </w:r>
      <w:r>
        <w:rPr>
          <w:rFonts w:hint="eastAsia" w:ascii="宋体" w:hAnsi="宋体" w:eastAsia="宋体" w:cs="宋体"/>
          <w:kern w:val="0"/>
          <w:sz w:val="24"/>
        </w:rPr>
        <w:t>与</w:t>
      </w:r>
      <w:r>
        <w:rPr>
          <w:rFonts w:hint="eastAsia" w:ascii="宋体" w:hAnsi="宋体" w:cs="宋体"/>
          <w:kern w:val="0"/>
          <w:sz w:val="24"/>
          <w:lang w:eastAsia="zh-CN"/>
        </w:rPr>
        <w:t>中标单位</w:t>
      </w:r>
      <w:r>
        <w:rPr>
          <w:rFonts w:hint="eastAsia" w:ascii="宋体" w:hAnsi="宋体" w:eastAsia="宋体" w:cs="宋体"/>
          <w:kern w:val="0"/>
          <w:sz w:val="24"/>
        </w:rPr>
        <w:t>应当在中标通知书发出之日起三十日内，按照招标文件确定的事项签订采购合同，并在合同签订之日起2个工作日内依法发布合同公告。</w:t>
      </w:r>
    </w:p>
    <w:p w14:paraId="351700C1">
      <w:pPr>
        <w:pStyle w:val="135"/>
        <w:snapToGrid w:val="0"/>
        <w:spacing w:before="0"/>
        <w:ind w:firstLine="480"/>
        <w:rPr>
          <w:rFonts w:hint="eastAsia" w:ascii="宋体" w:hAnsi="宋体" w:eastAsia="宋体" w:cs="宋体"/>
          <w:kern w:val="0"/>
          <w:lang w:val="zh-CN"/>
        </w:rPr>
      </w:pPr>
      <w:r>
        <w:rPr>
          <w:rFonts w:hint="eastAsia" w:ascii="宋体" w:hAnsi="宋体" w:eastAsia="宋体" w:cs="宋体"/>
          <w:kern w:val="0"/>
          <w:lang w:val="zh-CN"/>
        </w:rPr>
        <w:t>25.2</w:t>
      </w:r>
      <w:r>
        <w:rPr>
          <w:rFonts w:hint="eastAsia" w:ascii="宋体" w:hAnsi="宋体" w:cs="宋体"/>
          <w:kern w:val="0"/>
          <w:lang w:val="zh-CN"/>
        </w:rPr>
        <w:t>中标单位</w:t>
      </w:r>
      <w:r>
        <w:rPr>
          <w:rFonts w:hint="eastAsia" w:ascii="宋体" w:hAnsi="宋体" w:eastAsia="宋体" w:cs="宋体"/>
          <w:kern w:val="0"/>
          <w:lang w:val="zh-CN"/>
        </w:rPr>
        <w:t>按规定的日期、时间、地点，由法定代表人或其授权代表与</w:t>
      </w:r>
      <w:r>
        <w:rPr>
          <w:rFonts w:hint="eastAsia" w:ascii="宋体" w:hAnsi="宋体" w:cs="宋体"/>
          <w:kern w:val="0"/>
          <w:lang w:val="zh-CN"/>
        </w:rPr>
        <w:t>采购单位</w:t>
      </w:r>
      <w:r>
        <w:rPr>
          <w:rFonts w:hint="eastAsia" w:ascii="宋体" w:hAnsi="宋体" w:eastAsia="宋体" w:cs="宋体"/>
          <w:kern w:val="0"/>
          <w:lang w:val="zh-CN"/>
        </w:rPr>
        <w:t>代表签订合同。</w:t>
      </w:r>
    </w:p>
    <w:p w14:paraId="53A8BAD1">
      <w:pPr>
        <w:pStyle w:val="135"/>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7D60F43C">
      <w:pPr>
        <w:pStyle w:val="135"/>
        <w:snapToGrid w:val="0"/>
        <w:spacing w:before="0"/>
        <w:ind w:firstLine="480"/>
        <w:rPr>
          <w:rFonts w:hint="eastAsia" w:ascii="宋体" w:hAnsi="宋体" w:eastAsia="宋体" w:cs="宋体"/>
        </w:rPr>
      </w:pPr>
      <w:r>
        <w:rPr>
          <w:rFonts w:hint="eastAsia" w:ascii="宋体" w:hAnsi="宋体" w:eastAsia="宋体" w:cs="宋体"/>
        </w:rPr>
        <w:t>25.4</w:t>
      </w:r>
      <w:r>
        <w:rPr>
          <w:rFonts w:hint="eastAsia" w:ascii="宋体" w:hAnsi="宋体" w:cs="宋体"/>
          <w:lang w:eastAsia="zh-CN"/>
        </w:rPr>
        <w:t>中标单位</w:t>
      </w:r>
      <w:r>
        <w:rPr>
          <w:rFonts w:hint="eastAsia" w:ascii="宋体" w:hAnsi="宋体" w:eastAsia="宋体" w:cs="宋体"/>
        </w:rPr>
        <w:t>拒绝与</w:t>
      </w:r>
      <w:r>
        <w:rPr>
          <w:rFonts w:hint="eastAsia" w:ascii="宋体" w:hAnsi="宋体" w:cs="宋体"/>
          <w:lang w:eastAsia="zh-CN"/>
        </w:rPr>
        <w:t>采购单位</w:t>
      </w:r>
      <w:r>
        <w:rPr>
          <w:rFonts w:hint="eastAsia" w:ascii="宋体" w:hAnsi="宋体" w:eastAsia="宋体" w:cs="宋体"/>
        </w:rPr>
        <w:t>签订合同的，</w:t>
      </w:r>
      <w:r>
        <w:rPr>
          <w:rFonts w:hint="eastAsia" w:ascii="宋体" w:hAnsi="宋体" w:cs="宋体"/>
          <w:lang w:eastAsia="zh-CN"/>
        </w:rPr>
        <w:t>采购单位</w:t>
      </w:r>
      <w:r>
        <w:rPr>
          <w:rFonts w:hint="eastAsia" w:ascii="宋体" w:hAnsi="宋体" w:eastAsia="宋体" w:cs="宋体"/>
        </w:rPr>
        <w:t>可以按照评审报告推荐的中标或者成交候选人名单排序，确定下一候选人为</w:t>
      </w:r>
      <w:r>
        <w:rPr>
          <w:rFonts w:hint="eastAsia" w:ascii="宋体" w:hAnsi="宋体" w:cs="宋体"/>
          <w:lang w:eastAsia="zh-CN"/>
        </w:rPr>
        <w:t>中标单位</w:t>
      </w:r>
      <w:r>
        <w:rPr>
          <w:rFonts w:hint="eastAsia" w:ascii="宋体" w:hAnsi="宋体" w:eastAsia="宋体" w:cs="宋体"/>
        </w:rPr>
        <w:t>，也可以重新开展采购活动。</w:t>
      </w:r>
    </w:p>
    <w:p w14:paraId="7DF57E02">
      <w:pPr>
        <w:pStyle w:val="135"/>
        <w:snapToGrid w:val="0"/>
        <w:spacing w:before="0" w:after="120"/>
        <w:ind w:firstLine="480"/>
        <w:rPr>
          <w:rFonts w:hint="eastAsia" w:ascii="宋体" w:hAnsi="宋体" w:eastAsia="宋体" w:cs="宋体"/>
          <w:lang w:eastAsia="zh-CN"/>
        </w:rPr>
      </w:pPr>
      <w:r>
        <w:rPr>
          <w:rFonts w:hint="eastAsia" w:ascii="宋体" w:hAnsi="宋体" w:eastAsia="宋体" w:cs="宋体"/>
        </w:rPr>
        <w:t>25.5采购合同由</w:t>
      </w:r>
      <w:r>
        <w:rPr>
          <w:rFonts w:hint="eastAsia" w:ascii="宋体" w:hAnsi="宋体" w:cs="宋体"/>
          <w:lang w:eastAsia="zh-CN"/>
        </w:rPr>
        <w:t>采购单位</w:t>
      </w:r>
      <w:r>
        <w:rPr>
          <w:rFonts w:hint="eastAsia" w:ascii="宋体" w:hAnsi="宋体" w:eastAsia="宋体" w:cs="宋体"/>
        </w:rPr>
        <w:t>与</w:t>
      </w:r>
      <w:r>
        <w:rPr>
          <w:rFonts w:hint="eastAsia" w:ascii="宋体" w:hAnsi="宋体" w:cs="宋体"/>
          <w:lang w:eastAsia="zh-CN"/>
        </w:rPr>
        <w:t>中标单位</w:t>
      </w:r>
      <w:r>
        <w:rPr>
          <w:rFonts w:hint="eastAsia" w:ascii="宋体" w:hAnsi="宋体" w:eastAsia="宋体" w:cs="宋体"/>
        </w:rPr>
        <w:t>根据招标文件、投标文件等内容签订</w:t>
      </w:r>
      <w:r>
        <w:rPr>
          <w:rFonts w:hint="eastAsia" w:ascii="宋体" w:hAnsi="宋体" w:eastAsia="宋体" w:cs="宋体"/>
          <w:lang w:eastAsia="zh-CN"/>
        </w:rPr>
        <w:t>。</w:t>
      </w:r>
    </w:p>
    <w:bookmarkEnd w:id="10"/>
    <w:p w14:paraId="59B2E4BA">
      <w:pPr>
        <w:tabs>
          <w:tab w:val="left" w:pos="0"/>
        </w:tabs>
        <w:spacing w:line="360" w:lineRule="auto"/>
        <w:rPr>
          <w:rFonts w:hint="eastAsia" w:ascii="宋体" w:hAnsi="宋体" w:eastAsia="宋体" w:cs="宋体"/>
          <w:kern w:val="0"/>
          <w:sz w:val="24"/>
        </w:rPr>
        <w:sectPr>
          <w:footerReference r:id="rId4" w:type="default"/>
          <w:pgSz w:w="11906" w:h="16838"/>
          <w:pgMar w:top="1417" w:right="1587" w:bottom="1434" w:left="1587" w:header="851" w:footer="992" w:gutter="0"/>
          <w:pgNumType w:fmt="decimal" w:start="1"/>
          <w:cols w:space="720" w:num="1"/>
          <w:docGrid w:linePitch="312" w:charSpace="0"/>
        </w:sectPr>
      </w:pPr>
      <w:bookmarkStart w:id="11" w:name="_Hlt68403820"/>
      <w:bookmarkEnd w:id="11"/>
      <w:bookmarkStart w:id="12" w:name="_Hlt74730295"/>
      <w:bookmarkEnd w:id="12"/>
      <w:bookmarkStart w:id="13" w:name="_Hlt74729768"/>
      <w:bookmarkEnd w:id="13"/>
      <w:bookmarkStart w:id="14" w:name="_Hlt68072990"/>
      <w:bookmarkEnd w:id="14"/>
      <w:bookmarkStart w:id="15" w:name="_Hlt75236101"/>
      <w:bookmarkEnd w:id="15"/>
      <w:bookmarkStart w:id="16" w:name="_Hlt68072998"/>
      <w:bookmarkEnd w:id="16"/>
      <w:bookmarkStart w:id="17" w:name="_Hlt68073093"/>
      <w:bookmarkEnd w:id="17"/>
      <w:bookmarkStart w:id="18" w:name="_Hlt75236011"/>
      <w:bookmarkEnd w:id="18"/>
      <w:bookmarkStart w:id="19" w:name="_Hlt75236290"/>
      <w:bookmarkEnd w:id="19"/>
      <w:bookmarkStart w:id="20" w:name="_Hlt68057669"/>
      <w:bookmarkEnd w:id="20"/>
      <w:bookmarkStart w:id="21" w:name="_Hlt74707468"/>
      <w:bookmarkEnd w:id="21"/>
      <w:bookmarkStart w:id="22" w:name="_Hlt74714665"/>
      <w:bookmarkEnd w:id="22"/>
    </w:p>
    <w:bookmarkEnd w:id="8"/>
    <w:bookmarkEnd w:id="9"/>
    <w:p w14:paraId="103F96ED">
      <w:pPr>
        <w:spacing w:line="360" w:lineRule="auto"/>
        <w:jc w:val="center"/>
        <w:outlineLvl w:val="0"/>
        <w:rPr>
          <w:rFonts w:hint="eastAsia" w:ascii="宋体" w:hAnsi="宋体" w:eastAsia="宋体" w:cs="宋体"/>
        </w:rPr>
      </w:pPr>
      <w:bookmarkStart w:id="23" w:name="第四部分"/>
      <w:r>
        <w:rPr>
          <w:rFonts w:hint="eastAsia" w:ascii="宋体" w:hAnsi="宋体" w:eastAsia="宋体" w:cs="宋体"/>
          <w:b/>
          <w:sz w:val="36"/>
          <w:szCs w:val="36"/>
        </w:rPr>
        <w:t>第三部分   采购需求</w:t>
      </w:r>
    </w:p>
    <w:p w14:paraId="7CEDB678">
      <w:pPr>
        <w:pStyle w:val="135"/>
        <w:snapToGrid w:val="0"/>
        <w:spacing w:before="0"/>
        <w:ind w:left="0" w:leftChars="0" w:firstLine="0" w:firstLineChars="0"/>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一、项目概要</w:t>
      </w:r>
    </w:p>
    <w:p w14:paraId="02F04D83">
      <w:pPr>
        <w:keepNext w:val="0"/>
        <w:keepLines w:val="0"/>
        <w:pageBreakBefore w:val="0"/>
        <w:widowControl w:val="0"/>
        <w:shd w:val="clear"/>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1</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项目内容：</w:t>
      </w:r>
      <w:r>
        <w:rPr>
          <w:rFonts w:hint="eastAsia" w:ascii="宋体" w:hAnsi="宋体" w:cs="宋体"/>
          <w:color w:val="auto"/>
          <w:kern w:val="0"/>
          <w:sz w:val="24"/>
          <w:highlight w:val="none"/>
          <w:lang w:val="en-US" w:eastAsia="zh-CN"/>
        </w:rPr>
        <w:t>2024年</w:t>
      </w:r>
      <w:r>
        <w:rPr>
          <w:rFonts w:hint="eastAsia" w:ascii="宋体" w:hAnsi="宋体" w:eastAsia="宋体" w:cs="宋体"/>
          <w:color w:val="auto"/>
          <w:kern w:val="0"/>
          <w:sz w:val="24"/>
          <w:highlight w:val="none"/>
          <w:lang w:val="en-US" w:eastAsia="zh-CN"/>
        </w:rPr>
        <w:t>桐庐县青少年宫</w:t>
      </w:r>
      <w:r>
        <w:rPr>
          <w:rFonts w:hint="eastAsia" w:ascii="宋体" w:hAnsi="宋体" w:eastAsia="宋体" w:cs="宋体"/>
          <w:color w:val="auto"/>
          <w:kern w:val="0"/>
          <w:sz w:val="24"/>
          <w:highlight w:val="none"/>
          <w:lang w:val="zh-CN" w:eastAsia="zh-CN"/>
        </w:rPr>
        <w:t>消防维保服务。</w:t>
      </w:r>
    </w:p>
    <w:p w14:paraId="085AA2FF">
      <w:pPr>
        <w:keepNext w:val="0"/>
        <w:keepLines w:val="0"/>
        <w:pageBreakBefore w:val="0"/>
        <w:widowControl w:val="0"/>
        <w:shd w:val="clear"/>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cs="宋体"/>
          <w:b w:val="0"/>
          <w:bCs/>
          <w:color w:val="auto"/>
          <w:sz w:val="24"/>
          <w:highlight w:val="none"/>
          <w:lang w:val="zh-CN" w:eastAsia="zh-CN"/>
        </w:rPr>
      </w:pPr>
      <w:r>
        <w:rPr>
          <w:rFonts w:hint="eastAsia" w:ascii="宋体" w:hAnsi="宋体" w:eastAsia="宋体" w:cs="宋体"/>
          <w:color w:val="auto"/>
          <w:kern w:val="0"/>
          <w:sz w:val="24"/>
          <w:highlight w:val="none"/>
          <w:lang w:val="zh-CN" w:eastAsia="zh-CN"/>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yellow"/>
          <w:lang w:val="zh-CN" w:eastAsia="zh-CN"/>
        </w:rPr>
        <w:t>服务期：</w:t>
      </w:r>
      <w:r>
        <w:rPr>
          <w:rFonts w:hint="eastAsia" w:ascii="宋体" w:hAnsi="宋体" w:cs="宋体"/>
          <w:color w:val="auto"/>
          <w:kern w:val="0"/>
          <w:sz w:val="24"/>
          <w:highlight w:val="yellow"/>
          <w:lang w:val="en-US" w:eastAsia="zh-CN"/>
        </w:rPr>
        <w:t>一</w:t>
      </w:r>
      <w:r>
        <w:rPr>
          <w:rFonts w:hint="eastAsia" w:ascii="宋体" w:hAnsi="宋体" w:eastAsia="宋体" w:cs="宋体"/>
          <w:color w:val="auto"/>
          <w:kern w:val="0"/>
          <w:sz w:val="24"/>
          <w:highlight w:val="yellow"/>
          <w:lang w:val="zh-CN" w:eastAsia="zh-CN"/>
        </w:rPr>
        <w:t>年</w:t>
      </w:r>
      <w:r>
        <w:rPr>
          <w:rFonts w:hint="eastAsia" w:ascii="宋体" w:hAnsi="宋体" w:eastAsia="宋体" w:cs="宋体"/>
          <w:color w:val="auto"/>
          <w:kern w:val="0"/>
          <w:sz w:val="24"/>
          <w:highlight w:val="none"/>
          <w:lang w:val="zh-CN" w:eastAsia="zh-CN"/>
        </w:rPr>
        <w:t>，</w:t>
      </w:r>
      <w:r>
        <w:rPr>
          <w:rFonts w:hint="eastAsia" w:ascii="宋体" w:hAnsi="宋体" w:eastAsia="宋体" w:cs="宋体"/>
          <w:b w:val="0"/>
          <w:bCs/>
          <w:color w:val="auto"/>
          <w:sz w:val="24"/>
          <w:highlight w:val="none"/>
          <w:lang w:val="zh-CN" w:eastAsia="zh-CN"/>
        </w:rPr>
        <w:t>具体起止时间</w:t>
      </w:r>
      <w:r>
        <w:rPr>
          <w:rFonts w:hint="eastAsia" w:ascii="宋体" w:hAnsi="宋体" w:cs="宋体"/>
          <w:b w:val="0"/>
          <w:bCs/>
          <w:color w:val="auto"/>
          <w:sz w:val="24"/>
          <w:highlight w:val="none"/>
          <w:lang w:val="en-US" w:eastAsia="zh-CN"/>
        </w:rPr>
        <w:t>以合同签订为准</w:t>
      </w:r>
      <w:r>
        <w:rPr>
          <w:rFonts w:hint="eastAsia" w:ascii="宋体" w:hAnsi="宋体" w:cs="宋体"/>
          <w:b w:val="0"/>
          <w:bCs/>
          <w:color w:val="auto"/>
          <w:sz w:val="24"/>
          <w:highlight w:val="none"/>
          <w:lang w:val="zh-CN" w:eastAsia="zh-CN"/>
        </w:rPr>
        <w:t>。</w:t>
      </w:r>
    </w:p>
    <w:p w14:paraId="0BF66E92">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3</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eastAsia="zh-CN"/>
        </w:rPr>
        <w:t>服务地点：桐庐县青少年宫（</w:t>
      </w:r>
      <w:r>
        <w:rPr>
          <w:rFonts w:hint="eastAsia" w:ascii="宋体" w:hAnsi="宋体" w:eastAsia="宋体" w:cs="宋体"/>
          <w:color w:val="auto"/>
          <w:kern w:val="0"/>
          <w:sz w:val="24"/>
          <w:highlight w:val="none"/>
          <w:lang w:val="en-US" w:eastAsia="zh-CN"/>
        </w:rPr>
        <w:t>桐庐县城南街道白云源路1588号</w:t>
      </w:r>
      <w:r>
        <w:rPr>
          <w:rFonts w:hint="eastAsia" w:ascii="宋体" w:hAnsi="宋体" w:eastAsia="宋体" w:cs="宋体"/>
          <w:color w:val="auto"/>
          <w:kern w:val="0"/>
          <w:sz w:val="24"/>
          <w:highlight w:val="none"/>
          <w:lang w:val="zh-CN" w:eastAsia="zh-CN"/>
        </w:rPr>
        <w:t>）</w:t>
      </w:r>
    </w:p>
    <w:p w14:paraId="713AAEFD">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zh-CN" w:eastAsia="zh-CN"/>
        </w:rPr>
        <w:t>4</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eastAsia="zh-CN"/>
        </w:rPr>
        <w:t>现场条件</w:t>
      </w:r>
    </w:p>
    <w:p w14:paraId="10C90B16">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en-US" w:eastAsia="zh-CN"/>
        </w:rPr>
        <w:t>4.1</w:t>
      </w:r>
      <w:r>
        <w:rPr>
          <w:rFonts w:hint="eastAsia" w:ascii="宋体" w:hAnsi="宋体" w:eastAsia="宋体" w:cs="宋体"/>
          <w:color w:val="auto"/>
          <w:kern w:val="0"/>
          <w:sz w:val="24"/>
          <w:highlight w:val="none"/>
          <w:lang w:val="zh-CN" w:eastAsia="zh-CN"/>
        </w:rPr>
        <w:t>已具备实施条件，但实施不能影响</w:t>
      </w:r>
      <w:r>
        <w:rPr>
          <w:rFonts w:hint="eastAsia" w:ascii="宋体" w:hAnsi="宋体" w:eastAsia="宋体" w:cs="宋体"/>
          <w:color w:val="auto"/>
          <w:kern w:val="0"/>
          <w:sz w:val="24"/>
          <w:highlight w:val="none"/>
          <w:lang w:val="en-US" w:eastAsia="zh-CN"/>
        </w:rPr>
        <w:t>桐庐县青少年宫</w:t>
      </w:r>
      <w:r>
        <w:rPr>
          <w:rFonts w:hint="eastAsia" w:ascii="宋体" w:hAnsi="宋体" w:eastAsia="宋体" w:cs="宋体"/>
          <w:color w:val="auto"/>
          <w:kern w:val="0"/>
          <w:sz w:val="24"/>
          <w:highlight w:val="none"/>
          <w:lang w:val="zh-CN" w:eastAsia="zh-CN"/>
        </w:rPr>
        <w:t>正常工作。</w:t>
      </w:r>
    </w:p>
    <w:p w14:paraId="6D50CA2B">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en-US" w:eastAsia="zh-CN"/>
        </w:rPr>
        <w:t>4.2</w:t>
      </w:r>
      <w:r>
        <w:rPr>
          <w:rFonts w:hint="eastAsia" w:ascii="宋体" w:hAnsi="宋体" w:cs="宋体"/>
          <w:color w:val="auto"/>
          <w:kern w:val="0"/>
          <w:sz w:val="24"/>
          <w:highlight w:val="none"/>
          <w:lang w:val="zh-CN" w:eastAsia="zh-CN"/>
        </w:rPr>
        <w:t>采购单位</w:t>
      </w:r>
      <w:r>
        <w:rPr>
          <w:rFonts w:hint="eastAsia" w:ascii="宋体" w:hAnsi="宋体" w:eastAsia="宋体" w:cs="宋体"/>
          <w:color w:val="auto"/>
          <w:kern w:val="0"/>
          <w:sz w:val="24"/>
          <w:highlight w:val="none"/>
          <w:lang w:val="zh-CN" w:eastAsia="zh-CN"/>
        </w:rPr>
        <w:t>不组织现场踏勘，</w:t>
      </w:r>
      <w:r>
        <w:rPr>
          <w:rFonts w:hint="eastAsia" w:ascii="宋体" w:hAnsi="宋体" w:cs="宋体"/>
          <w:color w:val="auto"/>
          <w:kern w:val="0"/>
          <w:sz w:val="24"/>
          <w:highlight w:val="none"/>
          <w:lang w:val="en-US" w:eastAsia="zh-CN"/>
        </w:rPr>
        <w:t>投标单位</w:t>
      </w:r>
      <w:r>
        <w:rPr>
          <w:rFonts w:hint="eastAsia" w:ascii="宋体" w:hAnsi="宋体" w:eastAsia="宋体" w:cs="宋体"/>
          <w:color w:val="auto"/>
          <w:kern w:val="0"/>
          <w:sz w:val="24"/>
          <w:highlight w:val="none"/>
          <w:lang w:val="zh-CN" w:eastAsia="zh-CN"/>
        </w:rPr>
        <w:t>应自行对现场和周围环境进行踏勘和了解，并充分考虑影响本次报价的因素、预计实施过程中各种不利因素，由此可能发生的费用均由</w:t>
      </w:r>
      <w:r>
        <w:rPr>
          <w:rFonts w:hint="eastAsia" w:ascii="宋体" w:hAnsi="宋体" w:cs="宋体"/>
          <w:color w:val="auto"/>
          <w:kern w:val="0"/>
          <w:sz w:val="24"/>
          <w:highlight w:val="none"/>
          <w:lang w:val="en-US" w:eastAsia="zh-CN"/>
        </w:rPr>
        <w:t>投标单位</w:t>
      </w:r>
      <w:r>
        <w:rPr>
          <w:rFonts w:hint="eastAsia" w:ascii="宋体" w:hAnsi="宋体" w:eastAsia="宋体" w:cs="宋体"/>
          <w:color w:val="auto"/>
          <w:kern w:val="0"/>
          <w:sz w:val="24"/>
          <w:highlight w:val="none"/>
          <w:lang w:val="zh-CN" w:eastAsia="zh-CN"/>
        </w:rPr>
        <w:t>考虑并包含在报价中。</w:t>
      </w:r>
      <w:r>
        <w:rPr>
          <w:rFonts w:hint="eastAsia" w:ascii="宋体" w:hAnsi="宋体" w:eastAsia="宋体" w:cs="宋体"/>
          <w:color w:val="auto"/>
          <w:kern w:val="0"/>
          <w:sz w:val="24"/>
          <w:highlight w:val="none"/>
          <w:lang w:val="en-US" w:eastAsia="zh-CN"/>
        </w:rPr>
        <w:t>中标</w:t>
      </w:r>
      <w:r>
        <w:rPr>
          <w:rFonts w:hint="eastAsia" w:ascii="宋体" w:hAnsi="宋体" w:eastAsia="宋体" w:cs="宋体"/>
          <w:color w:val="auto"/>
          <w:kern w:val="0"/>
          <w:sz w:val="24"/>
          <w:highlight w:val="none"/>
          <w:lang w:val="zh-CN" w:eastAsia="zh-CN"/>
        </w:rPr>
        <w:t>成交后，供应商不得再以不完全了解现场情况等为理由而提出额外付款或延长交货期等的要求，若有此类要求，</w:t>
      </w:r>
      <w:r>
        <w:rPr>
          <w:rFonts w:hint="eastAsia" w:ascii="宋体" w:hAnsi="宋体" w:cs="宋体"/>
          <w:color w:val="auto"/>
          <w:kern w:val="0"/>
          <w:sz w:val="24"/>
          <w:highlight w:val="none"/>
          <w:lang w:val="zh-CN" w:eastAsia="zh-CN"/>
        </w:rPr>
        <w:t>采购单位</w:t>
      </w:r>
      <w:r>
        <w:rPr>
          <w:rFonts w:hint="eastAsia" w:ascii="宋体" w:hAnsi="宋体" w:eastAsia="宋体" w:cs="宋体"/>
          <w:color w:val="auto"/>
          <w:kern w:val="0"/>
          <w:sz w:val="24"/>
          <w:highlight w:val="none"/>
          <w:lang w:val="zh-CN" w:eastAsia="zh-CN"/>
        </w:rPr>
        <w:t>将不</w:t>
      </w:r>
      <w:r>
        <w:rPr>
          <w:rFonts w:hint="eastAsia" w:ascii="宋体" w:hAnsi="宋体" w:cs="宋体"/>
          <w:color w:val="auto"/>
          <w:kern w:val="0"/>
          <w:sz w:val="24"/>
          <w:highlight w:val="none"/>
          <w:lang w:val="zh-CN" w:eastAsia="zh-CN"/>
        </w:rPr>
        <w:t>做</w:t>
      </w:r>
      <w:r>
        <w:rPr>
          <w:rFonts w:hint="eastAsia" w:ascii="宋体" w:hAnsi="宋体" w:eastAsia="宋体" w:cs="宋体"/>
          <w:color w:val="auto"/>
          <w:kern w:val="0"/>
          <w:sz w:val="24"/>
          <w:highlight w:val="none"/>
          <w:lang w:val="zh-CN" w:eastAsia="zh-CN"/>
        </w:rPr>
        <w:t>任何答复与考虑，供应商应承担现场踏勘的责任和风险，踏勘现场的费用由</w:t>
      </w:r>
      <w:r>
        <w:rPr>
          <w:rFonts w:hint="eastAsia" w:ascii="宋体" w:hAnsi="宋体" w:cs="宋体"/>
          <w:color w:val="auto"/>
          <w:kern w:val="0"/>
          <w:sz w:val="24"/>
          <w:highlight w:val="none"/>
          <w:lang w:val="en-US" w:eastAsia="zh-CN"/>
        </w:rPr>
        <w:t>投标单位</w:t>
      </w:r>
      <w:r>
        <w:rPr>
          <w:rFonts w:hint="eastAsia" w:ascii="宋体" w:hAnsi="宋体" w:eastAsia="宋体" w:cs="宋体"/>
          <w:color w:val="auto"/>
          <w:kern w:val="0"/>
          <w:sz w:val="24"/>
          <w:highlight w:val="none"/>
          <w:lang w:val="zh-CN" w:eastAsia="zh-CN"/>
        </w:rPr>
        <w:t>自行承担。</w:t>
      </w:r>
    </w:p>
    <w:p w14:paraId="1A3C076D">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textAlignment w:val="auto"/>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二、消防维保清单</w:t>
      </w:r>
    </w:p>
    <w:tbl>
      <w:tblPr>
        <w:tblStyle w:val="63"/>
        <w:tblW w:w="88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51"/>
        <w:gridCol w:w="2309"/>
        <w:gridCol w:w="3979"/>
        <w:gridCol w:w="778"/>
      </w:tblGrid>
      <w:tr w14:paraId="63FE6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0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DD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检查保养项目及内容</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9D3AA5">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保养</w:t>
            </w:r>
          </w:p>
          <w:p w14:paraId="19C3CE9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周期</w:t>
            </w:r>
          </w:p>
        </w:tc>
      </w:tr>
      <w:tr w14:paraId="0A9D9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F23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消防供配电设施</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FD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消防配电柜（箱）</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01706D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试验主、备电切换功能；消防电源主、备电源供电能力测试</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27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2A3E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BA683">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B4CB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联动实验</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8BA8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试验非消防电源的联动切断功能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8142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4A7DA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4A3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火灾自动报警系统</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1A5B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火灾探测器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C558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试验报警功能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C655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62441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4CE81">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444B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手动报警按钮</w:t>
            </w:r>
          </w:p>
        </w:tc>
        <w:tc>
          <w:tcPr>
            <w:tcW w:w="3979" w:type="dxa"/>
            <w:tcBorders>
              <w:top w:val="nil"/>
              <w:left w:val="nil"/>
              <w:bottom w:val="nil"/>
              <w:right w:val="nil"/>
            </w:tcBorders>
            <w:shd w:val="clear" w:color="auto" w:fill="auto"/>
            <w:noWrap/>
            <w:vAlign w:val="bottom"/>
          </w:tcPr>
          <w:p w14:paraId="6722FC6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试验报警功能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8543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50957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BEE14">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E683F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监管装置</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0105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试验监管装置报警功能，屏蔽信息显示功能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677D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16CF1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13E2E">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9582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警报装置</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C35F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试验警报功能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036E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60F41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F6E29">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05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报警控制器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D43489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试验火警报警、故障报警、火警优先、打印机打印、自检、消音等功能，火灾显示盘和CRT显示屏的报警、显示功能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0C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6414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DD066">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E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消防联动控制器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79E2F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试验联动控制器及控制模块的手动、自动联动控制功能，试验控制器显示功能，试验电源部分主、备电源切换功能，备用电源充、放电功能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41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29A64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3ADF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消防供水设施</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E9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消防水池</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11B035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核对储水量、自动进水阀进水功能，液位检测装置报警功能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6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4E3F0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E5992">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FC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消防水箱</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0A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核对储水量、自动进水阀进水功能、模拟消防水箱出水，测试消防水箱供水能力、液位检测装置报警功能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98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2C70F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0E07D">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5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稳（增）压泵及气压水罐</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C8ECE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模拟系统渗漏，测试稳压泵、增压泵及气压水罐稳压、增压能力，自动启泵、停泵及联动启动主泵的压力工况，主、备泵切换功能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7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7AC0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6FDFF">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DDEE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消防水泵及控制柜</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2FEA2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试验手动/自动启泵功能和主、备泵切换功能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1F10F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2B335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94BD8">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FDD7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水泵接合器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258C1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外观及附件完整情况，标识。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D767B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57EA1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7C451">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1C73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阀门</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9834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试验控制阀门启闭功能、减压装置减压功能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F72C9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6B2FA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0E9D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消火栓（消防炮）灭火系统</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6A6F7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室内消火栓</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EA31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试验屋顶消火栓出水压力、静压</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0C10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1EC5B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254F1">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940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消防水喉（自救卷盘）</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4B43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射水实验</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4BB44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41B87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4FD39">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AEE50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消火栓按钮</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2237A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试验信号反馈功能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361F5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27518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CDB11">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71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联动控制功能</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3AEFD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自动方式下，分别利用远距离启泵按钮、消防联动控制盘控制按钮启动消防水泵，测试最不利点消火栓（消防炮）出水压力；具有火灾探测控制功能的消防炮系统，应模拟自动启动</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4B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33CE3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11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自动喷水灭火系统</w:t>
            </w:r>
          </w:p>
        </w:tc>
        <w:tc>
          <w:tcPr>
            <w:tcW w:w="2309" w:type="dxa"/>
            <w:tcBorders>
              <w:top w:val="nil"/>
              <w:left w:val="nil"/>
              <w:bottom w:val="nil"/>
              <w:right w:val="nil"/>
            </w:tcBorders>
            <w:shd w:val="clear" w:color="auto" w:fill="auto"/>
            <w:noWrap/>
            <w:vAlign w:val="center"/>
          </w:tcPr>
          <w:p w14:paraId="49A5D3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报警阀组</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2802E5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试验报警阀组试验排放阀排水功能，压力开关、水力警铃报警功能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48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季</w:t>
            </w:r>
          </w:p>
        </w:tc>
      </w:tr>
      <w:tr w14:paraId="1261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8FA83">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A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末端试水装置</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7AA83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试验末端放水测试工作压力、水流指示器、压力开关动作信号、水质情况，楼层末端试验阀功能试验</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BF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季</w:t>
            </w:r>
          </w:p>
        </w:tc>
      </w:tr>
      <w:tr w14:paraId="6C911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67DAB">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72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探测、报警装置</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907B7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测试火灾探测传动装置的火灾探测及控制功能、手动控制装置控制功能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D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1BC54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40A38">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A88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联动控制功能</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54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在系统末端放水或排气，进行系统联动功能试验，测试水流指示器、联动控制功能应模拟系统自动启动</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E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30EDB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3CB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机械加压送风系统</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3C79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送风口</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D9198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测试手动/自动开启功能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41F0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半年</w:t>
            </w:r>
          </w:p>
        </w:tc>
      </w:tr>
      <w:tr w14:paraId="2989F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9EF12">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1D1C2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送风机</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ED25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测试手动/自动启动、停止功能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D98D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季</w:t>
            </w:r>
          </w:p>
        </w:tc>
      </w:tr>
      <w:tr w14:paraId="59FD6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CE475">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3A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送风量、风速、风压</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5C1D7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测试最大负荷状态下，系统送风量、风速、风压</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85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129AA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AF734">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7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联动控制功能</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89CC3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通过报警联动，检查防火阀、送风自动开启和启动功能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C3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71CBA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41E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机械排烟系统</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BE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排烟阀、电动排烟阀、排烟防火阀</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17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测试排烟阀、排烟防火阀手动/自动开启功能，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D9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半年</w:t>
            </w:r>
          </w:p>
        </w:tc>
      </w:tr>
      <w:tr w14:paraId="39CF1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BB5AF">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B127E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自动排烟窗、排</w:t>
            </w:r>
          </w:p>
          <w:p w14:paraId="76C70F9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烟风机、活动挡烟垂壁</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8C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测试手动/自动启动、排烟防火阀联动停止功能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7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季</w:t>
            </w:r>
          </w:p>
        </w:tc>
      </w:tr>
      <w:tr w14:paraId="71D21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222BC">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1DA0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排烟风量、风速</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B3EA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测试最大负荷状态下，系统排烟风量、风速</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511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2D56A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538D1">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B5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联动控制功能</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66BF0C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通过报警联动，检查电动挡烟垂壁、电动排烟阀、电动排烟窗的功能，检查排烟风机的性能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C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6355D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B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应急照明系统</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758CD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切断正常供电，测量应急灯具照度、电源切换、充电、放电功能；测试应急电源供电时间；通过报警联动，检查应急灯具自动投入功能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08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3FDC7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4F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应急广播系统</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C3D1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扬声器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4FF5B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测量音量、音质</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CEDB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61AD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E4CD6">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94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功放、卡座、分配盘</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A541E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测试卡座的播音、录音功能，测试功放的扩音功能，测试分配盘的选层广播功能，测试合用广播系统应急强制切换功能，测试主、备扩音机切换功能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E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5F385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471BF">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92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联动控制功能</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8A485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通过报警联动，检查合用广播系统应急强制切换功能、扬声器播音质量及音量，卡座录音功能，分配盘分区及选层广播功能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6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3E1E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18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消防专用电话</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3A2FA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测试消防电话主机与电话分机、插扎电话之间通话质量：电话主机录音功能；拨打</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119</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A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63A3C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C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防火分隔</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5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防火门</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70BC39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试验非电动防火门的启闭功能及密封性能，测试电动防火门自动、现场释放功能及信号反馈功能，通过报警联动，检查电动防火门释放功能、喷水冷却装置的联动启动功能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9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43BAF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75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5BD5">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CF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防火卷帘</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2D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试验防火卷帘的手动、机械应急和自动控制功能、信号反馈功能、封闭性能，通过报警联动，检查防火卷帘门自动释放功能及喷水冷却装置的联动启动功能，测试有延时功能的防火卷帘的延时时间、声光指示</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26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46BB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66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DDF6A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核对选型、压力和有效期对同批次的灭火器随机抽取一定数量进行灭火、喷射等</w:t>
            </w:r>
            <w:r>
              <w:rPr>
                <w:rFonts w:hint="eastAsia" w:ascii="宋体" w:hAnsi="宋体" w:cs="宋体"/>
                <w:i w:val="0"/>
                <w:iCs w:val="0"/>
                <w:color w:val="000000"/>
                <w:kern w:val="0"/>
                <w:sz w:val="24"/>
                <w:szCs w:val="24"/>
                <w:u w:val="none"/>
                <w:lang w:val="en-US" w:eastAsia="zh-CN" w:bidi="ar"/>
              </w:rPr>
              <w:t>性能试验</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21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bl>
    <w:p w14:paraId="0A325F02">
      <w:pPr>
        <w:rPr>
          <w:rFonts w:hint="eastAsia"/>
          <w:lang w:eastAsia="zh-CN"/>
        </w:rPr>
      </w:pPr>
    </w:p>
    <w:p w14:paraId="320BCACE">
      <w:pPr>
        <w:rPr>
          <w:rFonts w:hint="eastAsia" w:eastAsia="宋体"/>
          <w:b/>
          <w:bCs/>
          <w:sz w:val="28"/>
          <w:szCs w:val="36"/>
          <w:lang w:val="en-US" w:eastAsia="zh-CN"/>
        </w:rPr>
      </w:pPr>
      <w:r>
        <w:rPr>
          <w:rFonts w:hint="eastAsia"/>
          <w:b/>
          <w:bCs/>
          <w:sz w:val="28"/>
          <w:szCs w:val="36"/>
          <w:highlight w:val="yellow"/>
          <w:lang w:val="en-US" w:eastAsia="zh-CN"/>
        </w:rPr>
        <w:t>注：维保结束前需出具一份桐庐县青少年宫的消防设施检测报告。</w:t>
      </w:r>
    </w:p>
    <w:p w14:paraId="6F269A92">
      <w:pPr>
        <w:pStyle w:val="81"/>
        <w:widowControl w:val="0"/>
        <w:numPr>
          <w:ilvl w:val="0"/>
          <w:numId w:val="0"/>
        </w:numPr>
        <w:adjustRightInd/>
        <w:spacing w:before="156" w:beforeLines="50" w:after="120" w:line="300" w:lineRule="auto"/>
        <w:jc w:val="both"/>
        <w:rPr>
          <w:rFonts w:hint="eastAsia" w:ascii="宋体" w:hAnsi="宋体" w:cs="宋体"/>
          <w:color w:val="auto"/>
          <w:kern w:val="0"/>
          <w:sz w:val="24"/>
          <w:highlight w:val="none"/>
          <w:lang w:val="en-US" w:eastAsia="zh-CN"/>
        </w:rPr>
      </w:pPr>
    </w:p>
    <w:p w14:paraId="6F8AD05C">
      <w:pPr>
        <w:pStyle w:val="81"/>
        <w:widowControl w:val="0"/>
        <w:numPr>
          <w:ilvl w:val="0"/>
          <w:numId w:val="0"/>
        </w:numPr>
        <w:adjustRightInd/>
        <w:spacing w:before="156" w:beforeLines="50" w:after="120" w:line="300" w:lineRule="auto"/>
        <w:jc w:val="both"/>
        <w:rPr>
          <w:rFonts w:hint="eastAsia" w:ascii="宋体" w:hAnsi="宋体" w:cs="宋体"/>
          <w:color w:val="auto"/>
          <w:kern w:val="0"/>
          <w:sz w:val="24"/>
          <w:highlight w:val="none"/>
          <w:lang w:val="en-US" w:eastAsia="zh-CN"/>
        </w:rPr>
      </w:pPr>
    </w:p>
    <w:p w14:paraId="4150C53E">
      <w:pPr>
        <w:pStyle w:val="81"/>
        <w:ind w:left="0" w:leftChars="0" w:firstLine="0" w:firstLineChars="0"/>
        <w:jc w:val="both"/>
      </w:pPr>
    </w:p>
    <w:p w14:paraId="17309740">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textAlignment w:val="auto"/>
        <w:rPr>
          <w:rFonts w:hint="eastAsia" w:ascii="宋体" w:hAnsi="宋体" w:eastAsia="宋体" w:cs="宋体"/>
          <w:b/>
          <w:bCs/>
          <w:color w:val="auto"/>
          <w:kern w:val="0"/>
          <w:sz w:val="28"/>
          <w:szCs w:val="28"/>
          <w:highlight w:val="none"/>
          <w:lang w:val="en-US" w:eastAsia="zh-CN" w:bidi="ar-SA"/>
        </w:rPr>
      </w:pPr>
      <w:r>
        <w:rPr>
          <w:rFonts w:hint="eastAsia" w:ascii="宋体" w:hAnsi="宋体" w:eastAsia="宋体" w:cs="宋体"/>
          <w:b/>
          <w:bCs/>
          <w:color w:val="auto"/>
          <w:kern w:val="0"/>
          <w:sz w:val="28"/>
          <w:szCs w:val="28"/>
          <w:highlight w:val="none"/>
          <w:lang w:val="en-US" w:eastAsia="zh-CN" w:bidi="ar-SA"/>
        </w:rPr>
        <w:t>三、安全协议</w:t>
      </w:r>
    </w:p>
    <w:p w14:paraId="4E10C5AF">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.投标单位</w:t>
      </w:r>
      <w:r>
        <w:rPr>
          <w:rFonts w:hint="eastAsia" w:ascii="宋体" w:hAnsi="宋体" w:eastAsia="宋体" w:cs="宋体"/>
          <w:color w:val="auto"/>
          <w:kern w:val="0"/>
          <w:sz w:val="24"/>
          <w:highlight w:val="none"/>
          <w:lang w:val="en-US" w:eastAsia="zh-CN"/>
        </w:rPr>
        <w:t>应负责其下属人员所有操作及管理人员的安全培训，如发生任何安全事故（人身安全及设备安全事故），应由投标</w:t>
      </w:r>
      <w:r>
        <w:rPr>
          <w:rFonts w:hint="eastAsia" w:ascii="宋体" w:hAnsi="宋体" w:eastAsia="宋体" w:cs="宋体"/>
          <w:color w:val="auto"/>
          <w:kern w:val="0"/>
          <w:sz w:val="24"/>
          <w:highlight w:val="none"/>
          <w:lang w:val="zh-CN" w:eastAsia="zh-CN"/>
        </w:rPr>
        <w:t>供应商</w:t>
      </w:r>
      <w:r>
        <w:rPr>
          <w:rFonts w:hint="eastAsia" w:ascii="宋体" w:hAnsi="宋体" w:eastAsia="宋体" w:cs="宋体"/>
          <w:color w:val="auto"/>
          <w:kern w:val="0"/>
          <w:sz w:val="24"/>
          <w:highlight w:val="none"/>
          <w:lang w:val="en-US" w:eastAsia="zh-CN"/>
        </w:rPr>
        <w:t>负责，与</w:t>
      </w:r>
      <w:r>
        <w:rPr>
          <w:rFonts w:hint="eastAsia" w:ascii="宋体" w:hAnsi="宋体" w:cs="宋体"/>
          <w:color w:val="auto"/>
          <w:kern w:val="0"/>
          <w:sz w:val="24"/>
          <w:highlight w:val="none"/>
          <w:lang w:val="en-US" w:eastAsia="zh-CN"/>
        </w:rPr>
        <w:t>采购单位</w:t>
      </w:r>
      <w:r>
        <w:rPr>
          <w:rFonts w:hint="eastAsia" w:ascii="宋体" w:hAnsi="宋体" w:eastAsia="宋体" w:cs="宋体"/>
          <w:color w:val="auto"/>
          <w:kern w:val="0"/>
          <w:sz w:val="24"/>
          <w:highlight w:val="none"/>
          <w:lang w:val="en-US" w:eastAsia="zh-CN"/>
        </w:rPr>
        <w:t>无关。</w:t>
      </w:r>
    </w:p>
    <w:p w14:paraId="378EFCB4">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lang w:val="zh-CN" w:eastAsia="zh-CN"/>
        </w:rPr>
        <w:t>供应商</w:t>
      </w:r>
      <w:r>
        <w:rPr>
          <w:rFonts w:hint="eastAsia" w:ascii="宋体" w:hAnsi="宋体" w:eastAsia="宋体" w:cs="宋体"/>
          <w:color w:val="auto"/>
          <w:kern w:val="0"/>
          <w:sz w:val="24"/>
          <w:highlight w:val="none"/>
          <w:lang w:val="en-US" w:eastAsia="zh-CN"/>
        </w:rPr>
        <w:t>必须按规定办理有关保险。</w:t>
      </w:r>
      <w:r>
        <w:rPr>
          <w:rFonts w:hint="eastAsia" w:ascii="宋体" w:hAnsi="宋体" w:cs="宋体"/>
          <w:color w:val="auto"/>
          <w:kern w:val="0"/>
          <w:sz w:val="24"/>
          <w:highlight w:val="none"/>
          <w:lang w:val="en-US" w:eastAsia="zh-CN"/>
        </w:rPr>
        <w:t>投标单位</w:t>
      </w:r>
      <w:r>
        <w:rPr>
          <w:rFonts w:hint="eastAsia" w:ascii="宋体" w:hAnsi="宋体" w:eastAsia="宋体" w:cs="宋体"/>
          <w:color w:val="auto"/>
          <w:kern w:val="0"/>
          <w:sz w:val="24"/>
          <w:highlight w:val="none"/>
          <w:lang w:val="en-US" w:eastAsia="zh-CN"/>
        </w:rPr>
        <w:t>应自行承担合同履行过程中的安全生产责任，如有任何人身意外伤害责任，均与</w:t>
      </w:r>
      <w:r>
        <w:rPr>
          <w:rFonts w:hint="eastAsia" w:ascii="宋体" w:hAnsi="宋体" w:cs="宋体"/>
          <w:color w:val="auto"/>
          <w:kern w:val="0"/>
          <w:sz w:val="24"/>
          <w:highlight w:val="none"/>
          <w:lang w:val="en-US" w:eastAsia="zh-CN"/>
        </w:rPr>
        <w:t>采购单位</w:t>
      </w:r>
      <w:r>
        <w:rPr>
          <w:rFonts w:hint="eastAsia" w:ascii="宋体" w:hAnsi="宋体" w:eastAsia="宋体" w:cs="宋体"/>
          <w:color w:val="auto"/>
          <w:kern w:val="0"/>
          <w:sz w:val="24"/>
          <w:highlight w:val="none"/>
          <w:lang w:val="en-US" w:eastAsia="zh-CN"/>
        </w:rPr>
        <w:t>无关。</w:t>
      </w:r>
    </w:p>
    <w:p w14:paraId="154F8536">
      <w:pPr>
        <w:keepNext w:val="0"/>
        <w:keepLines w:val="0"/>
        <w:pageBreakBefore w:val="0"/>
        <w:widowControl w:val="0"/>
        <w:kinsoku/>
        <w:wordWrap/>
        <w:overflowPunct/>
        <w:topLinePunct w:val="0"/>
        <w:autoSpaceDE/>
        <w:autoSpaceDN/>
        <w:bidi w:val="0"/>
        <w:adjustRightInd w:val="0"/>
        <w:snapToGrid w:val="0"/>
        <w:spacing w:before="313" w:beforeLines="100" w:after="157" w:afterLines="50" w:line="360" w:lineRule="auto"/>
        <w:textAlignment w:val="auto"/>
        <w:rPr>
          <w:rFonts w:hint="eastAsia" w:ascii="宋体" w:hAnsi="宋体" w:eastAsia="宋体" w:cs="宋体"/>
          <w:b/>
          <w:bCs/>
          <w:color w:val="auto"/>
          <w:kern w:val="0"/>
          <w:sz w:val="28"/>
          <w:szCs w:val="28"/>
          <w:highlight w:val="none"/>
        </w:rPr>
      </w:pPr>
      <w:r>
        <w:rPr>
          <w:rFonts w:hint="eastAsia" w:ascii="宋体" w:hAnsi="宋体" w:cs="宋体"/>
          <w:b/>
          <w:bCs/>
          <w:color w:val="auto"/>
          <w:kern w:val="0"/>
          <w:sz w:val="28"/>
          <w:szCs w:val="28"/>
          <w:highlight w:val="none"/>
          <w:lang w:val="en-US" w:eastAsia="zh-CN"/>
        </w:rPr>
        <w:t>四</w:t>
      </w:r>
      <w:r>
        <w:rPr>
          <w:rFonts w:hint="eastAsia" w:ascii="宋体" w:hAnsi="宋体" w:eastAsia="宋体" w:cs="宋体"/>
          <w:b/>
          <w:bCs/>
          <w:color w:val="auto"/>
          <w:kern w:val="0"/>
          <w:sz w:val="28"/>
          <w:szCs w:val="28"/>
          <w:highlight w:val="none"/>
        </w:rPr>
        <w:t>、项目质量目标</w:t>
      </w:r>
    </w:p>
    <w:p w14:paraId="5A5A469B">
      <w:pPr>
        <w:snapToGrid w:val="0"/>
        <w:spacing w:line="360" w:lineRule="auto"/>
        <w:ind w:firstLine="480" w:firstLineChars="200"/>
        <w:rPr>
          <w:rFonts w:hint="eastAsia"/>
          <w:lang w:val="en-US" w:eastAsia="zh-CN"/>
        </w:rPr>
      </w:pPr>
      <w:r>
        <w:rPr>
          <w:rFonts w:hint="eastAsia" w:ascii="宋体" w:hAnsi="宋体" w:eastAsia="宋体" w:cs="宋体"/>
          <w:color w:val="auto"/>
          <w:kern w:val="0"/>
          <w:sz w:val="24"/>
          <w:highlight w:val="none"/>
          <w:lang w:val="en-US" w:eastAsia="zh-CN"/>
        </w:rPr>
        <w:t>符合</w:t>
      </w:r>
      <w:r>
        <w:rPr>
          <w:rFonts w:hint="eastAsia" w:ascii="宋体" w:hAnsi="宋体" w:cs="宋体"/>
          <w:color w:val="auto"/>
          <w:kern w:val="0"/>
          <w:sz w:val="24"/>
          <w:highlight w:val="none"/>
          <w:lang w:val="en-US" w:eastAsia="zh-CN"/>
        </w:rPr>
        <w:t>国家消防</w:t>
      </w:r>
      <w:r>
        <w:rPr>
          <w:rFonts w:hint="eastAsia" w:ascii="宋体" w:hAnsi="宋体" w:eastAsia="宋体" w:cs="宋体"/>
          <w:color w:val="auto"/>
          <w:kern w:val="0"/>
          <w:sz w:val="24"/>
          <w:highlight w:val="none"/>
          <w:lang w:val="en-US" w:eastAsia="zh-CN"/>
        </w:rPr>
        <w:t>验收标准。</w:t>
      </w:r>
    </w:p>
    <w:p w14:paraId="33477421">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360" w:lineRule="auto"/>
        <w:textAlignment w:val="auto"/>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五、支付方式</w:t>
      </w:r>
    </w:p>
    <w:p w14:paraId="3832E64B">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cs="宋体"/>
          <w:color w:val="auto"/>
          <w:kern w:val="0"/>
          <w:sz w:val="24"/>
          <w:highlight w:val="yellow"/>
          <w:lang w:val="en-US" w:eastAsia="zh-CN"/>
        </w:rPr>
      </w:pPr>
      <w:r>
        <w:rPr>
          <w:rFonts w:hint="eastAsia" w:ascii="宋体" w:hAnsi="宋体" w:cs="宋体"/>
          <w:color w:val="auto"/>
          <w:kern w:val="0"/>
          <w:sz w:val="24"/>
          <w:highlight w:val="yellow"/>
          <w:lang w:val="en-US" w:eastAsia="zh-CN"/>
        </w:rPr>
        <w:t>服务期满，经采购单位验收及考核通过后15个工作日内一次性支付合同款；若考核不合格，采购单位有权取消合同。</w:t>
      </w:r>
    </w:p>
    <w:p w14:paraId="68104992">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（注：消防维保工作考核标准详见附件）</w:t>
      </w:r>
    </w:p>
    <w:p w14:paraId="5F165B41">
      <w:pPr>
        <w:snapToGrid w:val="0"/>
        <w:spacing w:line="360" w:lineRule="auto"/>
        <w:rPr>
          <w:rFonts w:hint="eastAsia" w:ascii="宋体" w:hAnsi="宋体" w:eastAsia="宋体" w:cs="宋体"/>
          <w:b/>
          <w:sz w:val="32"/>
          <w:lang w:val="en-US" w:eastAsia="zh-CN"/>
        </w:rPr>
      </w:pPr>
    </w:p>
    <w:p w14:paraId="4ECC7607"/>
    <w:p w14:paraId="11AF0BD4">
      <w:pPr>
        <w:rPr>
          <w:rFonts w:hint="eastAsia" w:ascii="宋体" w:hAnsi="宋体" w:eastAsia="宋体" w:cs="宋体"/>
          <w:b/>
          <w:sz w:val="32"/>
          <w:lang w:val="en-US" w:eastAsia="zh-CN"/>
        </w:rPr>
      </w:pPr>
    </w:p>
    <w:p w14:paraId="1F2C52B5">
      <w:pPr>
        <w:pStyle w:val="4"/>
        <w:rPr>
          <w:rFonts w:hint="eastAsia" w:ascii="宋体" w:hAnsi="宋体" w:eastAsia="宋体" w:cs="宋体"/>
          <w:b/>
          <w:sz w:val="32"/>
          <w:lang w:val="en-US" w:eastAsia="zh-CN"/>
        </w:rPr>
      </w:pPr>
    </w:p>
    <w:p w14:paraId="0337EFC5">
      <w:pPr>
        <w:snapToGrid w:val="0"/>
        <w:spacing w:line="360" w:lineRule="auto"/>
        <w:jc w:val="both"/>
        <w:rPr>
          <w:rFonts w:hint="eastAsia" w:ascii="宋体" w:hAnsi="宋体" w:eastAsia="宋体" w:cs="宋体"/>
          <w:b/>
          <w:color w:val="000000" w:themeColor="text1"/>
          <w:sz w:val="36"/>
          <w:szCs w:val="36"/>
          <w14:textFill>
            <w14:solidFill>
              <w14:schemeClr w14:val="tx1"/>
            </w14:solidFill>
          </w14:textFill>
        </w:rPr>
      </w:pPr>
    </w:p>
    <w:p w14:paraId="25832027">
      <w:pPr>
        <w:pStyle w:val="27"/>
        <w:rPr>
          <w:rFonts w:hint="eastAsia" w:ascii="宋体" w:hAnsi="宋体" w:eastAsia="宋体" w:cs="宋体"/>
          <w:b/>
          <w:color w:val="000000" w:themeColor="text1"/>
          <w:sz w:val="36"/>
          <w:szCs w:val="36"/>
          <w14:textFill>
            <w14:solidFill>
              <w14:schemeClr w14:val="tx1"/>
            </w14:solidFill>
          </w14:textFill>
        </w:rPr>
      </w:pPr>
    </w:p>
    <w:p w14:paraId="561969B3">
      <w:pPr>
        <w:pStyle w:val="28"/>
        <w:rPr>
          <w:rFonts w:hint="eastAsia" w:ascii="宋体" w:hAnsi="宋体" w:eastAsia="宋体" w:cs="宋体"/>
          <w:b/>
          <w:color w:val="000000" w:themeColor="text1"/>
          <w:sz w:val="36"/>
          <w:szCs w:val="36"/>
          <w14:textFill>
            <w14:solidFill>
              <w14:schemeClr w14:val="tx1"/>
            </w14:solidFill>
          </w14:textFill>
        </w:rPr>
      </w:pPr>
    </w:p>
    <w:p w14:paraId="4A4A992B">
      <w:pPr>
        <w:pStyle w:val="29"/>
        <w:rPr>
          <w:rFonts w:hint="eastAsia" w:ascii="宋体" w:hAnsi="宋体" w:eastAsia="宋体" w:cs="宋体"/>
          <w:b/>
          <w:color w:val="000000" w:themeColor="text1"/>
          <w:sz w:val="36"/>
          <w:szCs w:val="36"/>
          <w14:textFill>
            <w14:solidFill>
              <w14:schemeClr w14:val="tx1"/>
            </w14:solidFill>
          </w14:textFill>
        </w:rPr>
      </w:pPr>
    </w:p>
    <w:p w14:paraId="52455C5E">
      <w:pPr>
        <w:pStyle w:val="46"/>
        <w:rPr>
          <w:rFonts w:hint="eastAsia" w:ascii="宋体" w:hAnsi="宋体" w:eastAsia="宋体" w:cs="宋体"/>
          <w:b/>
          <w:color w:val="000000" w:themeColor="text1"/>
          <w:sz w:val="36"/>
          <w:szCs w:val="36"/>
          <w14:textFill>
            <w14:solidFill>
              <w14:schemeClr w14:val="tx1"/>
            </w14:solidFill>
          </w14:textFill>
        </w:rPr>
      </w:pPr>
    </w:p>
    <w:p w14:paraId="4263400B">
      <w:pPr>
        <w:rPr>
          <w:rFonts w:hint="eastAsia"/>
        </w:rPr>
      </w:pPr>
    </w:p>
    <w:p w14:paraId="366673F3">
      <w:pPr>
        <w:pStyle w:val="4"/>
        <w:rPr>
          <w:rFonts w:hint="eastAsia"/>
        </w:rPr>
      </w:pPr>
    </w:p>
    <w:p w14:paraId="68E7C756">
      <w:pPr>
        <w:rPr>
          <w:rFonts w:hint="eastAsia"/>
        </w:rPr>
      </w:pPr>
    </w:p>
    <w:p w14:paraId="1D4CB948">
      <w:pPr>
        <w:pStyle w:val="4"/>
        <w:ind w:left="0" w:leftChars="0" w:firstLine="0" w:firstLineChars="0"/>
        <w:rPr>
          <w:rFonts w:hint="eastAsia"/>
        </w:rPr>
      </w:pPr>
    </w:p>
    <w:p w14:paraId="25D143E2">
      <w:pPr>
        <w:rPr>
          <w:rFonts w:hint="eastAsia"/>
        </w:rPr>
      </w:pPr>
    </w:p>
    <w:p w14:paraId="02C1E00C">
      <w:pPr>
        <w:keepNext w:val="0"/>
        <w:keepLines w:val="0"/>
        <w:pageBreakBefore w:val="0"/>
        <w:widowControl w:val="0"/>
        <w:kinsoku/>
        <w:wordWrap/>
        <w:overflowPunct/>
        <w:topLinePunct w:val="0"/>
        <w:autoSpaceDE/>
        <w:autoSpaceDN/>
        <w:bidi w:val="0"/>
        <w:adjustRightInd/>
        <w:snapToGrid/>
        <w:spacing w:before="313" w:beforeLines="100" w:line="360" w:lineRule="auto"/>
        <w:jc w:val="both"/>
        <w:textAlignment w:val="auto"/>
        <w:rPr>
          <w:rFonts w:hint="eastAsia" w:ascii="宋体" w:hAnsi="宋体" w:eastAsia="宋体" w:cs="宋体"/>
          <w:color w:val="auto"/>
          <w:sz w:val="32"/>
          <w:szCs w:val="32"/>
          <w:highlight w:val="none"/>
        </w:rPr>
      </w:pPr>
      <w:r>
        <w:rPr>
          <w:rFonts w:hint="eastAsia" w:ascii="宋体" w:hAnsi="宋体" w:cs="宋体"/>
          <w:b/>
          <w:color w:val="auto"/>
          <w:sz w:val="32"/>
          <w:szCs w:val="32"/>
          <w:highlight w:val="none"/>
          <w:lang w:val="en-US" w:eastAsia="zh-CN"/>
        </w:rPr>
        <w:t>附件：</w:t>
      </w:r>
      <w:r>
        <w:rPr>
          <w:rFonts w:hint="eastAsia" w:ascii="宋体" w:hAnsi="宋体" w:eastAsia="宋体" w:cs="宋体"/>
          <w:b/>
          <w:color w:val="auto"/>
          <w:sz w:val="32"/>
          <w:szCs w:val="32"/>
          <w:highlight w:val="none"/>
        </w:rPr>
        <w:t>桐庐县青少年宫</w:t>
      </w:r>
      <w:r>
        <w:rPr>
          <w:rFonts w:hint="eastAsia" w:ascii="宋体" w:hAnsi="宋体" w:cs="宋体"/>
          <w:b/>
          <w:color w:val="auto"/>
          <w:sz w:val="32"/>
          <w:szCs w:val="32"/>
          <w:highlight w:val="none"/>
          <w:lang w:eastAsia="zh-CN"/>
        </w:rPr>
        <w:t>消防维保工作</w:t>
      </w:r>
      <w:r>
        <w:rPr>
          <w:rFonts w:hint="eastAsia" w:ascii="宋体" w:hAnsi="宋体" w:eastAsia="宋体" w:cs="宋体"/>
          <w:b/>
          <w:color w:val="auto"/>
          <w:sz w:val="32"/>
          <w:szCs w:val="32"/>
          <w:highlight w:val="none"/>
        </w:rPr>
        <w:t>考核标准</w:t>
      </w:r>
    </w:p>
    <w:tbl>
      <w:tblPr>
        <w:tblStyle w:val="63"/>
        <w:tblW w:w="541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532"/>
        <w:gridCol w:w="5152"/>
        <w:gridCol w:w="503"/>
        <w:gridCol w:w="962"/>
        <w:gridCol w:w="908"/>
        <w:gridCol w:w="969"/>
        <w:gridCol w:w="655"/>
      </w:tblGrid>
      <w:tr w14:paraId="693FD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jc w:val="center"/>
        </w:trPr>
        <w:tc>
          <w:tcPr>
            <w:tcW w:w="275" w:type="pct"/>
            <w:vMerge w:val="restart"/>
            <w:tcBorders>
              <w:right w:val="single" w:color="auto" w:sz="4" w:space="0"/>
            </w:tcBorders>
            <w:noWrap w:val="0"/>
            <w:tcMar>
              <w:left w:w="105" w:type="dxa"/>
              <w:right w:w="105" w:type="dxa"/>
            </w:tcMar>
            <w:vAlign w:val="center"/>
          </w:tcPr>
          <w:p w14:paraId="5AF6CCD0">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auto"/>
                <w:sz w:val="21"/>
                <w:szCs w:val="21"/>
                <w:highlight w:val="none"/>
                <w:lang w:eastAsia="zh-CN"/>
              </w:rPr>
            </w:pPr>
            <w:r>
              <w:rPr>
                <w:rFonts w:hint="eastAsia" w:cs="宋体"/>
                <w:b/>
                <w:color w:val="auto"/>
                <w:sz w:val="21"/>
                <w:szCs w:val="21"/>
                <w:highlight w:val="none"/>
                <w:lang w:eastAsia="zh-CN"/>
              </w:rPr>
              <w:t>序号</w:t>
            </w:r>
          </w:p>
        </w:tc>
        <w:tc>
          <w:tcPr>
            <w:tcW w:w="2661" w:type="pct"/>
            <w:vMerge w:val="restart"/>
            <w:tcBorders>
              <w:left w:val="single" w:color="auto" w:sz="4" w:space="0"/>
            </w:tcBorders>
            <w:noWrap w:val="0"/>
            <w:tcMar>
              <w:left w:w="105" w:type="dxa"/>
              <w:right w:w="105" w:type="dxa"/>
            </w:tcMar>
            <w:vAlign w:val="center"/>
          </w:tcPr>
          <w:p w14:paraId="2AFDF9EE">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spacing w:val="7"/>
                <w:sz w:val="21"/>
                <w:szCs w:val="21"/>
                <w:highlight w:val="none"/>
              </w:rPr>
              <w:t>管理考核内容</w:t>
            </w:r>
          </w:p>
        </w:tc>
        <w:tc>
          <w:tcPr>
            <w:tcW w:w="260" w:type="pct"/>
            <w:vMerge w:val="restart"/>
            <w:noWrap w:val="0"/>
            <w:tcMar>
              <w:left w:w="105" w:type="dxa"/>
              <w:right w:w="105" w:type="dxa"/>
            </w:tcMar>
            <w:vAlign w:val="center"/>
          </w:tcPr>
          <w:p w14:paraId="18BA2538">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pacing w:val="7"/>
                <w:sz w:val="21"/>
                <w:szCs w:val="21"/>
                <w:highlight w:val="none"/>
              </w:rPr>
              <w:t>分值</w:t>
            </w:r>
          </w:p>
        </w:tc>
        <w:tc>
          <w:tcPr>
            <w:tcW w:w="1466" w:type="pct"/>
            <w:gridSpan w:val="3"/>
            <w:tcBorders>
              <w:bottom w:val="single" w:color="auto" w:sz="4" w:space="0"/>
              <w:right w:val="single" w:color="auto" w:sz="4" w:space="0"/>
            </w:tcBorders>
            <w:noWrap w:val="0"/>
            <w:tcMar>
              <w:left w:w="105" w:type="dxa"/>
              <w:right w:w="105" w:type="dxa"/>
            </w:tcMar>
            <w:vAlign w:val="center"/>
          </w:tcPr>
          <w:p w14:paraId="36735110">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auto"/>
                <w:spacing w:val="7"/>
                <w:sz w:val="21"/>
                <w:szCs w:val="21"/>
                <w:highlight w:val="none"/>
              </w:rPr>
            </w:pPr>
            <w:r>
              <w:rPr>
                <w:rFonts w:hint="eastAsia" w:ascii="宋体" w:hAnsi="宋体" w:eastAsia="宋体" w:cs="宋体"/>
                <w:b/>
                <w:color w:val="auto"/>
                <w:spacing w:val="7"/>
                <w:sz w:val="21"/>
                <w:szCs w:val="21"/>
                <w:highlight w:val="none"/>
              </w:rPr>
              <w:t>评分</w:t>
            </w:r>
          </w:p>
        </w:tc>
        <w:tc>
          <w:tcPr>
            <w:tcW w:w="335" w:type="pct"/>
            <w:vMerge w:val="restart"/>
            <w:tcBorders>
              <w:left w:val="single" w:color="auto" w:sz="4" w:space="0"/>
            </w:tcBorders>
            <w:noWrap w:val="0"/>
            <w:tcMar>
              <w:left w:w="105" w:type="dxa"/>
              <w:right w:w="105" w:type="dxa"/>
            </w:tcMar>
            <w:vAlign w:val="center"/>
          </w:tcPr>
          <w:p w14:paraId="085711E5">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auto"/>
                <w:spacing w:val="7"/>
                <w:sz w:val="21"/>
                <w:szCs w:val="21"/>
                <w:highlight w:val="none"/>
                <w:lang w:eastAsia="zh-CN"/>
              </w:rPr>
            </w:pPr>
            <w:r>
              <w:rPr>
                <w:rFonts w:hint="eastAsia" w:cs="宋体"/>
                <w:b/>
                <w:color w:val="auto"/>
                <w:spacing w:val="7"/>
                <w:sz w:val="21"/>
                <w:szCs w:val="21"/>
                <w:highlight w:val="none"/>
                <w:lang w:eastAsia="zh-CN"/>
              </w:rPr>
              <w:t>总分</w:t>
            </w:r>
          </w:p>
        </w:tc>
      </w:tr>
      <w:tr w14:paraId="4D41C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9" w:hRule="atLeast"/>
          <w:jc w:val="center"/>
        </w:trPr>
        <w:tc>
          <w:tcPr>
            <w:tcW w:w="275" w:type="pct"/>
            <w:vMerge w:val="continue"/>
            <w:tcBorders>
              <w:right w:val="single" w:color="auto" w:sz="4" w:space="0"/>
            </w:tcBorders>
            <w:noWrap w:val="0"/>
            <w:tcMar>
              <w:left w:w="105" w:type="dxa"/>
              <w:right w:w="105" w:type="dxa"/>
            </w:tcMar>
            <w:vAlign w:val="center"/>
          </w:tcPr>
          <w:p w14:paraId="378E215B">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cs="宋体"/>
                <w:b/>
                <w:color w:val="auto"/>
                <w:sz w:val="21"/>
                <w:szCs w:val="21"/>
                <w:highlight w:val="none"/>
                <w:lang w:eastAsia="zh-CN"/>
              </w:rPr>
            </w:pPr>
          </w:p>
        </w:tc>
        <w:tc>
          <w:tcPr>
            <w:tcW w:w="2661" w:type="pct"/>
            <w:vMerge w:val="continue"/>
            <w:tcBorders>
              <w:left w:val="single" w:color="auto" w:sz="4" w:space="0"/>
            </w:tcBorders>
            <w:noWrap w:val="0"/>
            <w:tcMar>
              <w:left w:w="105" w:type="dxa"/>
              <w:right w:w="105" w:type="dxa"/>
            </w:tcMar>
            <w:vAlign w:val="center"/>
          </w:tcPr>
          <w:p w14:paraId="12BE245F">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auto"/>
                <w:spacing w:val="7"/>
                <w:sz w:val="21"/>
                <w:szCs w:val="21"/>
                <w:highlight w:val="none"/>
              </w:rPr>
            </w:pPr>
          </w:p>
        </w:tc>
        <w:tc>
          <w:tcPr>
            <w:tcW w:w="260" w:type="pct"/>
            <w:vMerge w:val="continue"/>
            <w:noWrap w:val="0"/>
            <w:tcMar>
              <w:left w:w="105" w:type="dxa"/>
              <w:right w:w="105" w:type="dxa"/>
            </w:tcMar>
            <w:vAlign w:val="center"/>
          </w:tcPr>
          <w:p w14:paraId="1918686F">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auto"/>
                <w:spacing w:val="7"/>
                <w:sz w:val="21"/>
                <w:szCs w:val="21"/>
                <w:highlight w:val="none"/>
              </w:rPr>
            </w:pPr>
          </w:p>
        </w:tc>
        <w:tc>
          <w:tcPr>
            <w:tcW w:w="497" w:type="pct"/>
            <w:tcBorders>
              <w:top w:val="single" w:color="auto" w:sz="4" w:space="0"/>
              <w:right w:val="single" w:color="auto" w:sz="4" w:space="0"/>
            </w:tcBorders>
            <w:noWrap w:val="0"/>
            <w:tcMar>
              <w:left w:w="105" w:type="dxa"/>
              <w:right w:w="105" w:type="dxa"/>
            </w:tcMar>
            <w:vAlign w:val="center"/>
          </w:tcPr>
          <w:p w14:paraId="2055DA06">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auto"/>
                <w:spacing w:val="7"/>
                <w:sz w:val="21"/>
                <w:szCs w:val="21"/>
                <w:highlight w:val="none"/>
                <w:lang w:eastAsia="zh-CN"/>
              </w:rPr>
            </w:pPr>
            <w:r>
              <w:rPr>
                <w:rFonts w:hint="eastAsia" w:cs="宋体"/>
                <w:b/>
                <w:color w:val="auto"/>
                <w:spacing w:val="7"/>
                <w:sz w:val="21"/>
                <w:szCs w:val="21"/>
                <w:highlight w:val="none"/>
                <w:lang w:eastAsia="zh-CN"/>
              </w:rPr>
              <w:t>活动部</w:t>
            </w:r>
          </w:p>
        </w:tc>
        <w:tc>
          <w:tcPr>
            <w:tcW w:w="469" w:type="pct"/>
            <w:tcBorders>
              <w:top w:val="single" w:color="auto" w:sz="4" w:space="0"/>
              <w:left w:val="single" w:color="auto" w:sz="4" w:space="0"/>
              <w:right w:val="single" w:color="auto" w:sz="4" w:space="0"/>
            </w:tcBorders>
            <w:noWrap w:val="0"/>
            <w:tcMar>
              <w:left w:w="105" w:type="dxa"/>
              <w:right w:w="105" w:type="dxa"/>
            </w:tcMar>
            <w:vAlign w:val="center"/>
          </w:tcPr>
          <w:p w14:paraId="32E78E1D">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auto"/>
                <w:spacing w:val="7"/>
                <w:sz w:val="21"/>
                <w:szCs w:val="21"/>
                <w:highlight w:val="none"/>
                <w:lang w:eastAsia="zh-CN"/>
              </w:rPr>
            </w:pPr>
            <w:r>
              <w:rPr>
                <w:rFonts w:hint="eastAsia" w:cs="宋体"/>
                <w:b/>
                <w:color w:val="auto"/>
                <w:spacing w:val="7"/>
                <w:sz w:val="21"/>
                <w:szCs w:val="21"/>
                <w:highlight w:val="none"/>
                <w:lang w:eastAsia="zh-CN"/>
              </w:rPr>
              <w:t>团队部</w:t>
            </w:r>
          </w:p>
        </w:tc>
        <w:tc>
          <w:tcPr>
            <w:tcW w:w="499" w:type="pct"/>
            <w:tcBorders>
              <w:top w:val="single" w:color="auto" w:sz="4" w:space="0"/>
              <w:left w:val="single" w:color="auto" w:sz="4" w:space="0"/>
              <w:right w:val="single" w:color="auto" w:sz="4" w:space="0"/>
            </w:tcBorders>
            <w:noWrap w:val="0"/>
            <w:tcMar>
              <w:left w:w="105" w:type="dxa"/>
              <w:right w:w="105" w:type="dxa"/>
            </w:tcMar>
            <w:vAlign w:val="center"/>
          </w:tcPr>
          <w:p w14:paraId="01F9E030">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auto"/>
                <w:spacing w:val="7"/>
                <w:sz w:val="21"/>
                <w:szCs w:val="21"/>
                <w:highlight w:val="none"/>
                <w:lang w:eastAsia="zh-CN"/>
              </w:rPr>
            </w:pPr>
            <w:r>
              <w:rPr>
                <w:rFonts w:hint="eastAsia" w:cs="宋体"/>
                <w:b/>
                <w:color w:val="auto"/>
                <w:spacing w:val="7"/>
                <w:sz w:val="21"/>
                <w:szCs w:val="21"/>
                <w:highlight w:val="none"/>
                <w:lang w:eastAsia="zh-CN"/>
              </w:rPr>
              <w:t>办公室</w:t>
            </w:r>
          </w:p>
        </w:tc>
        <w:tc>
          <w:tcPr>
            <w:tcW w:w="335" w:type="pct"/>
            <w:vMerge w:val="continue"/>
            <w:tcBorders>
              <w:left w:val="single" w:color="auto" w:sz="4" w:space="0"/>
            </w:tcBorders>
            <w:noWrap w:val="0"/>
            <w:tcMar>
              <w:left w:w="105" w:type="dxa"/>
              <w:right w:w="105" w:type="dxa"/>
            </w:tcMar>
            <w:vAlign w:val="center"/>
          </w:tcPr>
          <w:p w14:paraId="04264403">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rPr>
                <w:rFonts w:hint="eastAsia" w:ascii="宋体" w:hAnsi="宋体" w:eastAsia="宋体" w:cs="宋体"/>
                <w:b/>
                <w:color w:val="auto"/>
                <w:spacing w:val="7"/>
                <w:sz w:val="21"/>
                <w:szCs w:val="21"/>
                <w:highlight w:val="none"/>
              </w:rPr>
            </w:pPr>
          </w:p>
        </w:tc>
      </w:tr>
      <w:tr w14:paraId="5EF12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75" w:type="pct"/>
            <w:tcBorders>
              <w:right w:val="single" w:color="auto" w:sz="4" w:space="0"/>
            </w:tcBorders>
            <w:noWrap w:val="0"/>
            <w:tcMar>
              <w:left w:w="105" w:type="dxa"/>
              <w:right w:w="105" w:type="dxa"/>
            </w:tcMar>
            <w:vAlign w:val="center"/>
          </w:tcPr>
          <w:p w14:paraId="0BAE82AF">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6"/>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w:t>
            </w:r>
          </w:p>
        </w:tc>
        <w:tc>
          <w:tcPr>
            <w:tcW w:w="2661" w:type="pct"/>
            <w:tcBorders>
              <w:left w:val="single" w:color="auto" w:sz="4" w:space="0"/>
            </w:tcBorders>
            <w:noWrap w:val="0"/>
            <w:tcMar>
              <w:left w:w="105" w:type="dxa"/>
              <w:right w:w="105" w:type="dxa"/>
            </w:tcMar>
            <w:vAlign w:val="center"/>
          </w:tcPr>
          <w:p w14:paraId="39DA50B8">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中标单位能根据采购合同履行相关责任义务。</w:t>
            </w:r>
          </w:p>
        </w:tc>
        <w:tc>
          <w:tcPr>
            <w:tcW w:w="260" w:type="pct"/>
            <w:noWrap w:val="0"/>
            <w:tcMar>
              <w:left w:w="105" w:type="dxa"/>
              <w:right w:w="105" w:type="dxa"/>
            </w:tcMar>
            <w:vAlign w:val="center"/>
          </w:tcPr>
          <w:p w14:paraId="5B985BA7">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20</w:t>
            </w:r>
          </w:p>
        </w:tc>
        <w:tc>
          <w:tcPr>
            <w:tcW w:w="497" w:type="pct"/>
            <w:tcBorders>
              <w:right w:val="single" w:color="auto" w:sz="4" w:space="0"/>
            </w:tcBorders>
            <w:noWrap w:val="0"/>
            <w:tcMar>
              <w:left w:w="105" w:type="dxa"/>
              <w:right w:w="105" w:type="dxa"/>
            </w:tcMar>
            <w:vAlign w:val="center"/>
          </w:tcPr>
          <w:p w14:paraId="69A84F14">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pacing w:val="7"/>
                <w:sz w:val="21"/>
                <w:szCs w:val="21"/>
                <w:highlight w:val="none"/>
              </w:rPr>
            </w:pPr>
          </w:p>
        </w:tc>
        <w:tc>
          <w:tcPr>
            <w:tcW w:w="469" w:type="pct"/>
            <w:tcBorders>
              <w:left w:val="single" w:color="auto" w:sz="4" w:space="0"/>
              <w:right w:val="single" w:color="auto" w:sz="4" w:space="0"/>
            </w:tcBorders>
            <w:noWrap w:val="0"/>
            <w:tcMar>
              <w:left w:w="105" w:type="dxa"/>
              <w:right w:w="105" w:type="dxa"/>
            </w:tcMar>
            <w:vAlign w:val="center"/>
          </w:tcPr>
          <w:p w14:paraId="300EB9F6">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pacing w:val="7"/>
                <w:sz w:val="21"/>
                <w:szCs w:val="21"/>
                <w:highlight w:val="none"/>
              </w:rPr>
            </w:pPr>
          </w:p>
        </w:tc>
        <w:tc>
          <w:tcPr>
            <w:tcW w:w="499" w:type="pct"/>
            <w:tcBorders>
              <w:left w:val="single" w:color="auto" w:sz="4" w:space="0"/>
              <w:right w:val="single" w:color="auto" w:sz="4" w:space="0"/>
            </w:tcBorders>
            <w:noWrap w:val="0"/>
            <w:tcMar>
              <w:left w:w="105" w:type="dxa"/>
              <w:right w:w="105" w:type="dxa"/>
            </w:tcMar>
            <w:vAlign w:val="center"/>
          </w:tcPr>
          <w:p w14:paraId="23809187">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pacing w:val="7"/>
                <w:sz w:val="21"/>
                <w:szCs w:val="21"/>
                <w:highlight w:val="none"/>
              </w:rPr>
            </w:pPr>
          </w:p>
        </w:tc>
        <w:tc>
          <w:tcPr>
            <w:tcW w:w="335" w:type="pct"/>
            <w:tcBorders>
              <w:left w:val="single" w:color="auto" w:sz="4" w:space="0"/>
            </w:tcBorders>
            <w:noWrap w:val="0"/>
            <w:tcMar>
              <w:left w:w="105" w:type="dxa"/>
              <w:right w:w="105" w:type="dxa"/>
            </w:tcMar>
            <w:vAlign w:val="center"/>
          </w:tcPr>
          <w:p w14:paraId="6A3E240E">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pacing w:val="7"/>
                <w:sz w:val="21"/>
                <w:szCs w:val="21"/>
                <w:highlight w:val="none"/>
              </w:rPr>
            </w:pPr>
          </w:p>
        </w:tc>
      </w:tr>
      <w:tr w14:paraId="154B9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75" w:type="pct"/>
            <w:tcBorders>
              <w:right w:val="single" w:color="auto" w:sz="4" w:space="0"/>
            </w:tcBorders>
            <w:noWrap w:val="0"/>
            <w:tcMar>
              <w:left w:w="105" w:type="dxa"/>
              <w:right w:w="105" w:type="dxa"/>
            </w:tcMar>
            <w:vAlign w:val="center"/>
          </w:tcPr>
          <w:p w14:paraId="42EEE50B">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8"/>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w:t>
            </w:r>
          </w:p>
        </w:tc>
        <w:tc>
          <w:tcPr>
            <w:tcW w:w="2661" w:type="pct"/>
            <w:tcBorders>
              <w:left w:val="single" w:color="auto" w:sz="4" w:space="0"/>
            </w:tcBorders>
            <w:noWrap w:val="0"/>
            <w:tcMar>
              <w:left w:w="105" w:type="dxa"/>
              <w:right w:w="105" w:type="dxa"/>
            </w:tcMar>
            <w:vAlign w:val="center"/>
          </w:tcPr>
          <w:p w14:paraId="289127CB">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按消防重点单位，按月完成维保并提供维保单，按年完成消防设施检测并提供消防设施检测报告，报告通过县消防大队审核。</w:t>
            </w:r>
            <w:r>
              <w:rPr>
                <w:rFonts w:hint="eastAsia" w:ascii="宋体" w:hAnsi="宋体" w:eastAsia="宋体" w:cs="宋体"/>
                <w:color w:val="auto"/>
                <w:spacing w:val="7"/>
                <w:sz w:val="21"/>
                <w:szCs w:val="21"/>
                <w:highlight w:val="none"/>
              </w:rPr>
              <w:t>确保宫消防安全。消防设备完好能有效使用，杜绝消</w:t>
            </w:r>
            <w:r>
              <w:rPr>
                <w:rFonts w:hint="eastAsia" w:ascii="宋体" w:hAnsi="宋体" w:eastAsia="宋体" w:cs="宋体"/>
                <w:color w:val="auto"/>
                <w:spacing w:val="7"/>
                <w:sz w:val="21"/>
                <w:szCs w:val="21"/>
                <w:highlight w:val="none"/>
                <w:lang w:eastAsia="zh-CN"/>
              </w:rPr>
              <w:t>防安全</w:t>
            </w:r>
            <w:r>
              <w:rPr>
                <w:rFonts w:hint="eastAsia" w:ascii="宋体" w:hAnsi="宋体" w:eastAsia="宋体" w:cs="宋体"/>
                <w:color w:val="auto"/>
                <w:spacing w:val="7"/>
                <w:sz w:val="21"/>
                <w:szCs w:val="21"/>
                <w:highlight w:val="none"/>
              </w:rPr>
              <w:t>隐患。</w:t>
            </w:r>
          </w:p>
        </w:tc>
        <w:tc>
          <w:tcPr>
            <w:tcW w:w="260" w:type="pct"/>
            <w:noWrap w:val="0"/>
            <w:tcMar>
              <w:left w:w="105" w:type="dxa"/>
              <w:right w:w="105" w:type="dxa"/>
            </w:tcMar>
            <w:vAlign w:val="center"/>
          </w:tcPr>
          <w:p w14:paraId="6913963F">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cs="宋体"/>
                <w:color w:val="auto"/>
                <w:sz w:val="21"/>
                <w:szCs w:val="21"/>
                <w:highlight w:val="none"/>
                <w:lang w:val="en-US" w:eastAsia="zh-CN"/>
              </w:rPr>
              <w:t>30</w:t>
            </w:r>
          </w:p>
        </w:tc>
        <w:tc>
          <w:tcPr>
            <w:tcW w:w="497" w:type="pct"/>
            <w:tcBorders>
              <w:right w:val="single" w:color="auto" w:sz="4" w:space="0"/>
            </w:tcBorders>
            <w:noWrap w:val="0"/>
            <w:tcMar>
              <w:left w:w="105" w:type="dxa"/>
              <w:right w:w="105" w:type="dxa"/>
            </w:tcMar>
            <w:vAlign w:val="center"/>
          </w:tcPr>
          <w:p w14:paraId="3643E27E">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pacing w:val="7"/>
                <w:kern w:val="0"/>
                <w:sz w:val="21"/>
                <w:szCs w:val="21"/>
                <w:highlight w:val="none"/>
                <w:lang w:val="en-US" w:eastAsia="zh-CN" w:bidi="ar-SA"/>
              </w:rPr>
            </w:pPr>
          </w:p>
        </w:tc>
        <w:tc>
          <w:tcPr>
            <w:tcW w:w="469" w:type="pct"/>
            <w:tcBorders>
              <w:left w:val="single" w:color="auto" w:sz="4" w:space="0"/>
              <w:right w:val="single" w:color="auto" w:sz="4" w:space="0"/>
            </w:tcBorders>
            <w:noWrap w:val="0"/>
            <w:tcMar>
              <w:left w:w="105" w:type="dxa"/>
              <w:right w:w="105" w:type="dxa"/>
            </w:tcMar>
            <w:vAlign w:val="center"/>
          </w:tcPr>
          <w:p w14:paraId="36A90A4E">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pacing w:val="7"/>
                <w:sz w:val="21"/>
                <w:szCs w:val="21"/>
                <w:highlight w:val="none"/>
              </w:rPr>
            </w:pPr>
          </w:p>
        </w:tc>
        <w:tc>
          <w:tcPr>
            <w:tcW w:w="499" w:type="pct"/>
            <w:tcBorders>
              <w:left w:val="single" w:color="auto" w:sz="4" w:space="0"/>
              <w:right w:val="single" w:color="auto" w:sz="4" w:space="0"/>
            </w:tcBorders>
            <w:noWrap w:val="0"/>
            <w:tcMar>
              <w:left w:w="105" w:type="dxa"/>
              <w:right w:w="105" w:type="dxa"/>
            </w:tcMar>
            <w:vAlign w:val="center"/>
          </w:tcPr>
          <w:p w14:paraId="5FE18CD7">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pacing w:val="7"/>
                <w:sz w:val="21"/>
                <w:szCs w:val="21"/>
                <w:highlight w:val="none"/>
              </w:rPr>
            </w:pPr>
          </w:p>
        </w:tc>
        <w:tc>
          <w:tcPr>
            <w:tcW w:w="335" w:type="pct"/>
            <w:tcBorders>
              <w:left w:val="single" w:color="auto" w:sz="4" w:space="0"/>
            </w:tcBorders>
            <w:noWrap w:val="0"/>
            <w:tcMar>
              <w:left w:w="105" w:type="dxa"/>
              <w:right w:w="105" w:type="dxa"/>
            </w:tcMar>
            <w:vAlign w:val="center"/>
          </w:tcPr>
          <w:p w14:paraId="6195EFCE">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rPr>
                <w:rFonts w:hint="eastAsia" w:ascii="宋体" w:hAnsi="宋体" w:eastAsia="宋体" w:cs="宋体"/>
                <w:color w:val="auto"/>
                <w:spacing w:val="7"/>
                <w:sz w:val="21"/>
                <w:szCs w:val="21"/>
                <w:highlight w:val="none"/>
              </w:rPr>
            </w:pPr>
          </w:p>
        </w:tc>
      </w:tr>
      <w:tr w14:paraId="57954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2" w:hRule="atLeast"/>
          <w:jc w:val="center"/>
        </w:trPr>
        <w:tc>
          <w:tcPr>
            <w:tcW w:w="275" w:type="pct"/>
            <w:tcBorders>
              <w:right w:val="single" w:color="auto" w:sz="4" w:space="0"/>
            </w:tcBorders>
            <w:noWrap w:val="0"/>
            <w:tcMar>
              <w:left w:w="105" w:type="dxa"/>
              <w:right w:w="105" w:type="dxa"/>
            </w:tcMar>
            <w:vAlign w:val="center"/>
          </w:tcPr>
          <w:p w14:paraId="672A27FF">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default"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3</w:t>
            </w:r>
          </w:p>
        </w:tc>
        <w:tc>
          <w:tcPr>
            <w:tcW w:w="2661" w:type="pct"/>
            <w:tcBorders>
              <w:left w:val="single" w:color="auto" w:sz="4" w:space="0"/>
            </w:tcBorders>
            <w:noWrap w:val="0"/>
            <w:tcMar>
              <w:left w:w="105" w:type="dxa"/>
              <w:right w:w="105" w:type="dxa"/>
            </w:tcMar>
            <w:vAlign w:val="center"/>
          </w:tcPr>
          <w:p w14:paraId="2B8C9623">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维保人员仪表端庄，工作认真负责，能主动解说维保结果、解决措施等相关事宜。</w:t>
            </w:r>
          </w:p>
        </w:tc>
        <w:tc>
          <w:tcPr>
            <w:tcW w:w="260" w:type="pct"/>
            <w:noWrap w:val="0"/>
            <w:tcMar>
              <w:left w:w="105" w:type="dxa"/>
              <w:right w:w="105" w:type="dxa"/>
            </w:tcMar>
            <w:vAlign w:val="center"/>
          </w:tcPr>
          <w:p w14:paraId="2EE93D4A">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default"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10</w:t>
            </w:r>
          </w:p>
        </w:tc>
        <w:tc>
          <w:tcPr>
            <w:tcW w:w="497" w:type="pct"/>
            <w:tcBorders>
              <w:right w:val="single" w:color="auto" w:sz="4" w:space="0"/>
            </w:tcBorders>
            <w:noWrap w:val="0"/>
            <w:tcMar>
              <w:left w:w="105" w:type="dxa"/>
              <w:right w:w="105" w:type="dxa"/>
            </w:tcMar>
            <w:vAlign w:val="center"/>
          </w:tcPr>
          <w:p w14:paraId="213C71A1">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p>
        </w:tc>
        <w:tc>
          <w:tcPr>
            <w:tcW w:w="469" w:type="pct"/>
            <w:tcBorders>
              <w:left w:val="single" w:color="auto" w:sz="4" w:space="0"/>
              <w:right w:val="single" w:color="auto" w:sz="4" w:space="0"/>
            </w:tcBorders>
            <w:noWrap w:val="0"/>
            <w:tcMar>
              <w:left w:w="105" w:type="dxa"/>
              <w:right w:w="105" w:type="dxa"/>
            </w:tcMar>
            <w:vAlign w:val="center"/>
          </w:tcPr>
          <w:p w14:paraId="502761C2">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p>
        </w:tc>
        <w:tc>
          <w:tcPr>
            <w:tcW w:w="499" w:type="pct"/>
            <w:tcBorders>
              <w:left w:val="single" w:color="auto" w:sz="4" w:space="0"/>
              <w:right w:val="single" w:color="auto" w:sz="4" w:space="0"/>
            </w:tcBorders>
            <w:noWrap w:val="0"/>
            <w:tcMar>
              <w:left w:w="105" w:type="dxa"/>
              <w:right w:w="105" w:type="dxa"/>
            </w:tcMar>
            <w:vAlign w:val="center"/>
          </w:tcPr>
          <w:p w14:paraId="75F41012">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p>
        </w:tc>
        <w:tc>
          <w:tcPr>
            <w:tcW w:w="335" w:type="pct"/>
            <w:tcBorders>
              <w:left w:val="single" w:color="auto" w:sz="4" w:space="0"/>
            </w:tcBorders>
            <w:noWrap w:val="0"/>
            <w:tcMar>
              <w:left w:w="105" w:type="dxa"/>
              <w:right w:w="105" w:type="dxa"/>
            </w:tcMar>
            <w:vAlign w:val="center"/>
          </w:tcPr>
          <w:p w14:paraId="57C6663E">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p>
        </w:tc>
      </w:tr>
      <w:tr w14:paraId="3DFC7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75" w:type="pct"/>
            <w:tcBorders>
              <w:right w:val="single" w:color="auto" w:sz="4" w:space="0"/>
            </w:tcBorders>
            <w:noWrap w:val="0"/>
            <w:tcMar>
              <w:left w:w="105" w:type="dxa"/>
              <w:right w:w="105" w:type="dxa"/>
            </w:tcMar>
            <w:vAlign w:val="center"/>
          </w:tcPr>
          <w:p w14:paraId="715BCD0B">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4</w:t>
            </w:r>
          </w:p>
        </w:tc>
        <w:tc>
          <w:tcPr>
            <w:tcW w:w="2661" w:type="pct"/>
            <w:tcBorders>
              <w:left w:val="single" w:color="auto" w:sz="4" w:space="0"/>
            </w:tcBorders>
            <w:noWrap w:val="0"/>
            <w:tcMar>
              <w:left w:w="105" w:type="dxa"/>
              <w:right w:w="105" w:type="dxa"/>
            </w:tcMar>
            <w:vAlign w:val="center"/>
          </w:tcPr>
          <w:p w14:paraId="72CFE5F0">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维保过程不得影响青少年宫的校外活动、培训及康乐游艺活动的正常开展，并做好安全预案，确保个人及他人的安全。</w:t>
            </w:r>
          </w:p>
        </w:tc>
        <w:tc>
          <w:tcPr>
            <w:tcW w:w="260" w:type="pct"/>
            <w:noWrap w:val="0"/>
            <w:tcMar>
              <w:left w:w="105" w:type="dxa"/>
              <w:right w:w="105" w:type="dxa"/>
            </w:tcMar>
            <w:vAlign w:val="center"/>
          </w:tcPr>
          <w:p w14:paraId="5F6FFAD7">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default"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20</w:t>
            </w:r>
          </w:p>
        </w:tc>
        <w:tc>
          <w:tcPr>
            <w:tcW w:w="497" w:type="pct"/>
            <w:tcBorders>
              <w:right w:val="single" w:color="auto" w:sz="4" w:space="0"/>
            </w:tcBorders>
            <w:noWrap w:val="0"/>
            <w:tcMar>
              <w:left w:w="105" w:type="dxa"/>
              <w:right w:w="105" w:type="dxa"/>
            </w:tcMar>
            <w:vAlign w:val="center"/>
          </w:tcPr>
          <w:p w14:paraId="32A5DE12">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p>
        </w:tc>
        <w:tc>
          <w:tcPr>
            <w:tcW w:w="469" w:type="pct"/>
            <w:tcBorders>
              <w:left w:val="single" w:color="auto" w:sz="4" w:space="0"/>
              <w:right w:val="single" w:color="auto" w:sz="4" w:space="0"/>
            </w:tcBorders>
            <w:noWrap w:val="0"/>
            <w:tcMar>
              <w:left w:w="105" w:type="dxa"/>
              <w:right w:w="105" w:type="dxa"/>
            </w:tcMar>
            <w:vAlign w:val="center"/>
          </w:tcPr>
          <w:p w14:paraId="716AAB63">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p>
        </w:tc>
        <w:tc>
          <w:tcPr>
            <w:tcW w:w="499" w:type="pct"/>
            <w:tcBorders>
              <w:left w:val="single" w:color="auto" w:sz="4" w:space="0"/>
              <w:right w:val="single" w:color="auto" w:sz="4" w:space="0"/>
            </w:tcBorders>
            <w:noWrap w:val="0"/>
            <w:tcMar>
              <w:left w:w="105" w:type="dxa"/>
              <w:right w:w="105" w:type="dxa"/>
            </w:tcMar>
            <w:vAlign w:val="center"/>
          </w:tcPr>
          <w:p w14:paraId="469FC568">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p>
        </w:tc>
        <w:tc>
          <w:tcPr>
            <w:tcW w:w="335" w:type="pct"/>
            <w:tcBorders>
              <w:left w:val="single" w:color="auto" w:sz="4" w:space="0"/>
            </w:tcBorders>
            <w:noWrap w:val="0"/>
            <w:tcMar>
              <w:left w:w="105" w:type="dxa"/>
              <w:right w:w="105" w:type="dxa"/>
            </w:tcMar>
            <w:vAlign w:val="center"/>
          </w:tcPr>
          <w:p w14:paraId="20208999">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p>
        </w:tc>
      </w:tr>
      <w:tr w14:paraId="1AB32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275" w:type="pct"/>
            <w:tcBorders>
              <w:right w:val="single" w:color="auto" w:sz="4" w:space="0"/>
            </w:tcBorders>
            <w:noWrap w:val="0"/>
            <w:tcMar>
              <w:left w:w="105" w:type="dxa"/>
              <w:right w:w="105" w:type="dxa"/>
            </w:tcMar>
            <w:vAlign w:val="center"/>
          </w:tcPr>
          <w:p w14:paraId="136D3A16">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5</w:t>
            </w:r>
          </w:p>
        </w:tc>
        <w:tc>
          <w:tcPr>
            <w:tcW w:w="2661" w:type="pct"/>
            <w:tcBorders>
              <w:left w:val="single" w:color="auto" w:sz="4" w:space="0"/>
            </w:tcBorders>
            <w:noWrap w:val="0"/>
            <w:tcMar>
              <w:left w:w="105" w:type="dxa"/>
              <w:right w:w="105" w:type="dxa"/>
            </w:tcMar>
            <w:vAlign w:val="center"/>
          </w:tcPr>
          <w:p w14:paraId="7494DBB9">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若需维修，提供经济有效的维修方案，申报经费不得高于市场价格。</w:t>
            </w:r>
          </w:p>
        </w:tc>
        <w:tc>
          <w:tcPr>
            <w:tcW w:w="260" w:type="pct"/>
            <w:noWrap w:val="0"/>
            <w:tcMar>
              <w:left w:w="105" w:type="dxa"/>
              <w:right w:w="105" w:type="dxa"/>
            </w:tcMar>
            <w:vAlign w:val="center"/>
          </w:tcPr>
          <w:p w14:paraId="7C48E667">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default"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10</w:t>
            </w:r>
          </w:p>
        </w:tc>
        <w:tc>
          <w:tcPr>
            <w:tcW w:w="497" w:type="pct"/>
            <w:tcBorders>
              <w:right w:val="single" w:color="auto" w:sz="4" w:space="0"/>
            </w:tcBorders>
            <w:noWrap w:val="0"/>
            <w:tcMar>
              <w:left w:w="105" w:type="dxa"/>
              <w:right w:w="105" w:type="dxa"/>
            </w:tcMar>
            <w:vAlign w:val="center"/>
          </w:tcPr>
          <w:p w14:paraId="28BE944C">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p>
        </w:tc>
        <w:tc>
          <w:tcPr>
            <w:tcW w:w="469" w:type="pct"/>
            <w:tcBorders>
              <w:left w:val="single" w:color="auto" w:sz="4" w:space="0"/>
              <w:right w:val="single" w:color="auto" w:sz="4" w:space="0"/>
            </w:tcBorders>
            <w:noWrap w:val="0"/>
            <w:tcMar>
              <w:left w:w="105" w:type="dxa"/>
              <w:right w:w="105" w:type="dxa"/>
            </w:tcMar>
            <w:vAlign w:val="center"/>
          </w:tcPr>
          <w:p w14:paraId="261A5356">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p>
        </w:tc>
        <w:tc>
          <w:tcPr>
            <w:tcW w:w="499" w:type="pct"/>
            <w:tcBorders>
              <w:left w:val="single" w:color="auto" w:sz="4" w:space="0"/>
              <w:right w:val="single" w:color="auto" w:sz="4" w:space="0"/>
            </w:tcBorders>
            <w:noWrap w:val="0"/>
            <w:tcMar>
              <w:left w:w="105" w:type="dxa"/>
              <w:right w:w="105" w:type="dxa"/>
            </w:tcMar>
            <w:vAlign w:val="center"/>
          </w:tcPr>
          <w:p w14:paraId="0975F637">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p>
        </w:tc>
        <w:tc>
          <w:tcPr>
            <w:tcW w:w="335" w:type="pct"/>
            <w:tcBorders>
              <w:left w:val="single" w:color="auto" w:sz="4" w:space="0"/>
            </w:tcBorders>
            <w:noWrap w:val="0"/>
            <w:tcMar>
              <w:left w:w="105" w:type="dxa"/>
              <w:right w:w="105" w:type="dxa"/>
            </w:tcMar>
            <w:vAlign w:val="center"/>
          </w:tcPr>
          <w:p w14:paraId="7D5C1DDB">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p>
        </w:tc>
      </w:tr>
      <w:tr w14:paraId="42CCE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275" w:type="pct"/>
            <w:tcBorders>
              <w:right w:val="single" w:color="auto" w:sz="4" w:space="0"/>
            </w:tcBorders>
            <w:noWrap w:val="0"/>
            <w:tcMar>
              <w:left w:w="105" w:type="dxa"/>
              <w:right w:w="105" w:type="dxa"/>
            </w:tcMar>
            <w:vAlign w:val="center"/>
          </w:tcPr>
          <w:p w14:paraId="71411B22">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default"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6</w:t>
            </w:r>
          </w:p>
        </w:tc>
        <w:tc>
          <w:tcPr>
            <w:tcW w:w="2661" w:type="pct"/>
            <w:tcBorders>
              <w:left w:val="single" w:color="auto" w:sz="4" w:space="0"/>
            </w:tcBorders>
            <w:noWrap w:val="0"/>
            <w:tcMar>
              <w:left w:w="105" w:type="dxa"/>
              <w:right w:w="105" w:type="dxa"/>
            </w:tcMar>
            <w:vAlign w:val="center"/>
          </w:tcPr>
          <w:p w14:paraId="38BCE624">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结算时，能及时开具发票并提供加盖公章的广告清单。</w:t>
            </w:r>
          </w:p>
        </w:tc>
        <w:tc>
          <w:tcPr>
            <w:tcW w:w="260" w:type="pct"/>
            <w:noWrap w:val="0"/>
            <w:tcMar>
              <w:left w:w="105" w:type="dxa"/>
              <w:right w:w="105" w:type="dxa"/>
            </w:tcMar>
            <w:vAlign w:val="center"/>
          </w:tcPr>
          <w:p w14:paraId="2C111AD5">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default"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10</w:t>
            </w:r>
          </w:p>
        </w:tc>
        <w:tc>
          <w:tcPr>
            <w:tcW w:w="497" w:type="pct"/>
            <w:tcBorders>
              <w:right w:val="single" w:color="auto" w:sz="4" w:space="0"/>
            </w:tcBorders>
            <w:noWrap w:val="0"/>
            <w:tcMar>
              <w:left w:w="105" w:type="dxa"/>
              <w:right w:w="105" w:type="dxa"/>
            </w:tcMar>
            <w:vAlign w:val="center"/>
          </w:tcPr>
          <w:p w14:paraId="1049369D">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p>
        </w:tc>
        <w:tc>
          <w:tcPr>
            <w:tcW w:w="469" w:type="pct"/>
            <w:tcBorders>
              <w:left w:val="single" w:color="auto" w:sz="4" w:space="0"/>
              <w:right w:val="single" w:color="auto" w:sz="4" w:space="0"/>
            </w:tcBorders>
            <w:noWrap w:val="0"/>
            <w:tcMar>
              <w:left w:w="105" w:type="dxa"/>
              <w:right w:w="105" w:type="dxa"/>
            </w:tcMar>
            <w:vAlign w:val="center"/>
          </w:tcPr>
          <w:p w14:paraId="73FD9DFF">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p>
        </w:tc>
        <w:tc>
          <w:tcPr>
            <w:tcW w:w="499" w:type="pct"/>
            <w:tcBorders>
              <w:left w:val="single" w:color="auto" w:sz="4" w:space="0"/>
              <w:right w:val="single" w:color="auto" w:sz="4" w:space="0"/>
            </w:tcBorders>
            <w:noWrap w:val="0"/>
            <w:tcMar>
              <w:left w:w="105" w:type="dxa"/>
              <w:right w:w="105" w:type="dxa"/>
            </w:tcMar>
            <w:vAlign w:val="center"/>
          </w:tcPr>
          <w:p w14:paraId="3358EACA">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p>
        </w:tc>
        <w:tc>
          <w:tcPr>
            <w:tcW w:w="335" w:type="pct"/>
            <w:tcBorders>
              <w:left w:val="single" w:color="auto" w:sz="4" w:space="0"/>
            </w:tcBorders>
            <w:noWrap w:val="0"/>
            <w:tcMar>
              <w:left w:w="105" w:type="dxa"/>
              <w:right w:w="105" w:type="dxa"/>
            </w:tcMar>
            <w:vAlign w:val="center"/>
          </w:tcPr>
          <w:p w14:paraId="47FDC917">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eastAsia" w:cs="宋体"/>
                <w:color w:val="auto"/>
                <w:kern w:val="0"/>
                <w:sz w:val="21"/>
                <w:szCs w:val="21"/>
                <w:highlight w:val="none"/>
                <w:lang w:val="en-US" w:eastAsia="zh-CN" w:bidi="ar-SA"/>
              </w:rPr>
            </w:pPr>
          </w:p>
        </w:tc>
      </w:tr>
      <w:tr w14:paraId="6B3F0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047" w:hRule="atLeast"/>
          <w:jc w:val="center"/>
        </w:trPr>
        <w:tc>
          <w:tcPr>
            <w:tcW w:w="5000" w:type="pct"/>
            <w:gridSpan w:val="7"/>
            <w:tcBorders>
              <w:bottom w:val="single" w:color="auto" w:sz="4" w:space="0"/>
            </w:tcBorders>
            <w:noWrap w:val="0"/>
            <w:tcMar>
              <w:left w:w="105" w:type="dxa"/>
              <w:right w:w="105" w:type="dxa"/>
            </w:tcMar>
            <w:vAlign w:val="center"/>
          </w:tcPr>
          <w:p w14:paraId="3037BDEA">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rPr>
                <w:rFonts w:hint="default"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说明：考核采用按期（春、暑、秋）考核办法，考核80分（含）以上为合格，80分以下为不合格，考核不合格，青少年宫有权取消合同。</w:t>
            </w:r>
          </w:p>
        </w:tc>
      </w:tr>
      <w:tr w14:paraId="15D67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144" w:hRule="atLeast"/>
          <w:jc w:val="center"/>
        </w:trPr>
        <w:tc>
          <w:tcPr>
            <w:tcW w:w="5000" w:type="pct"/>
            <w:gridSpan w:val="7"/>
            <w:tcBorders>
              <w:top w:val="single" w:color="auto" w:sz="4" w:space="0"/>
              <w:bottom w:val="single" w:color="auto" w:sz="4" w:space="0"/>
            </w:tcBorders>
            <w:noWrap w:val="0"/>
            <w:tcMar>
              <w:left w:w="105" w:type="dxa"/>
              <w:right w:w="105" w:type="dxa"/>
            </w:tcMar>
            <w:vAlign w:val="top"/>
          </w:tcPr>
          <w:p w14:paraId="59E94039">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auto"/>
                <w:spacing w:val="7"/>
                <w:sz w:val="21"/>
                <w:szCs w:val="21"/>
                <w:highlight w:val="none"/>
                <w:lang w:eastAsia="zh-CN"/>
              </w:rPr>
            </w:pPr>
            <w:r>
              <w:rPr>
                <w:rFonts w:hint="eastAsia" w:cs="宋体"/>
                <w:color w:val="auto"/>
                <w:spacing w:val="7"/>
                <w:sz w:val="21"/>
                <w:szCs w:val="21"/>
                <w:highlight w:val="none"/>
                <w:lang w:eastAsia="zh-CN"/>
              </w:rPr>
              <w:t>意见建议：</w:t>
            </w:r>
          </w:p>
        </w:tc>
      </w:tr>
    </w:tbl>
    <w:p w14:paraId="757DF1DF">
      <w:pPr>
        <w:pStyle w:val="4"/>
        <w:rPr>
          <w:rFonts w:hint="eastAsia"/>
        </w:rPr>
      </w:pPr>
    </w:p>
    <w:p w14:paraId="01C37495">
      <w:pPr>
        <w:rPr>
          <w:rFonts w:hint="eastAsia"/>
        </w:rPr>
      </w:pPr>
    </w:p>
    <w:p w14:paraId="7537E6A8">
      <w:pPr>
        <w:pStyle w:val="29"/>
        <w:rPr>
          <w:rFonts w:hint="eastAsia" w:ascii="宋体" w:hAnsi="宋体" w:eastAsia="宋体" w:cs="宋体"/>
          <w:b/>
          <w:color w:val="000000" w:themeColor="text1"/>
          <w:sz w:val="36"/>
          <w:szCs w:val="36"/>
          <w14:textFill>
            <w14:solidFill>
              <w14:schemeClr w14:val="tx1"/>
            </w14:solidFill>
          </w14:textFill>
        </w:rPr>
      </w:pPr>
    </w:p>
    <w:p w14:paraId="00DE3951">
      <w:pPr>
        <w:rPr>
          <w:rFonts w:hint="eastAsia" w:ascii="宋体" w:hAnsi="宋体" w:eastAsia="宋体" w:cs="宋体"/>
          <w:b/>
          <w:color w:val="000000" w:themeColor="text1"/>
          <w:sz w:val="36"/>
          <w:szCs w:val="36"/>
          <w14:textFill>
            <w14:solidFill>
              <w14:schemeClr w14:val="tx1"/>
            </w14:solidFill>
          </w14:textFill>
        </w:rPr>
      </w:pPr>
    </w:p>
    <w:p w14:paraId="31716D40">
      <w:pPr>
        <w:pStyle w:val="27"/>
        <w:rPr>
          <w:rFonts w:hint="eastAsia"/>
        </w:rPr>
      </w:pPr>
    </w:p>
    <w:p w14:paraId="5C002BC1">
      <w:pPr>
        <w:pStyle w:val="28"/>
        <w:rPr>
          <w:rFonts w:hint="eastAsia"/>
        </w:rPr>
      </w:pPr>
    </w:p>
    <w:p w14:paraId="74D936F0">
      <w:pPr>
        <w:pStyle w:val="81"/>
        <w:rPr>
          <w:rFonts w:hint="eastAsia"/>
        </w:rPr>
      </w:pPr>
    </w:p>
    <w:p w14:paraId="4B513F8B">
      <w:pPr>
        <w:snapToGrid w:val="0"/>
        <w:spacing w:line="360" w:lineRule="auto"/>
        <w:jc w:val="center"/>
        <w:rPr>
          <w:rFonts w:hint="eastAsia" w:ascii="宋体" w:hAnsi="宋体" w:eastAsia="宋体" w:cs="宋体"/>
          <w:b/>
          <w:color w:val="000000" w:themeColor="text1"/>
          <w:sz w:val="36"/>
          <w:szCs w:val="36"/>
          <w14:textFill>
            <w14:solidFill>
              <w14:schemeClr w14:val="tx1"/>
            </w14:solidFill>
          </w14:textFill>
        </w:rPr>
      </w:pPr>
      <w:r>
        <w:rPr>
          <w:rFonts w:hint="eastAsia" w:ascii="宋体" w:hAnsi="宋体" w:eastAsia="宋体" w:cs="宋体"/>
          <w:b/>
          <w:color w:val="000000" w:themeColor="text1"/>
          <w:sz w:val="36"/>
          <w:szCs w:val="36"/>
          <w14:textFill>
            <w14:solidFill>
              <w14:schemeClr w14:val="tx1"/>
            </w14:solidFill>
          </w14:textFill>
        </w:rPr>
        <w:t xml:space="preserve">第四部分 </w:t>
      </w:r>
      <w:bookmarkStart w:id="24" w:name="_Toc184314454"/>
      <w:bookmarkEnd w:id="24"/>
      <w:bookmarkStart w:id="25" w:name="_Toc184314435"/>
      <w:bookmarkEnd w:id="25"/>
      <w:bookmarkStart w:id="26" w:name="_Toc184310323"/>
      <w:bookmarkEnd w:id="26"/>
      <w:bookmarkStart w:id="27" w:name="_Toc184313300"/>
      <w:bookmarkEnd w:id="27"/>
      <w:bookmarkStart w:id="28" w:name="_Toc184313293"/>
      <w:bookmarkEnd w:id="28"/>
      <w:bookmarkStart w:id="29" w:name="_Toc184308091"/>
      <w:bookmarkEnd w:id="29"/>
      <w:bookmarkStart w:id="30" w:name="_Toc184314412"/>
      <w:bookmarkEnd w:id="30"/>
      <w:bookmarkStart w:id="31" w:name="_Toc184314411"/>
      <w:bookmarkEnd w:id="31"/>
      <w:bookmarkStart w:id="32" w:name="_Toc184314423"/>
      <w:bookmarkEnd w:id="32"/>
      <w:bookmarkStart w:id="33" w:name="_Toc184310279"/>
      <w:bookmarkEnd w:id="33"/>
      <w:bookmarkStart w:id="34" w:name="_Toc184310276"/>
      <w:bookmarkEnd w:id="34"/>
      <w:bookmarkStart w:id="35" w:name="_Toc184314431"/>
      <w:bookmarkEnd w:id="35"/>
      <w:bookmarkStart w:id="36" w:name="_Toc184310338"/>
      <w:bookmarkEnd w:id="36"/>
      <w:bookmarkStart w:id="37" w:name="_Toc184314422"/>
      <w:bookmarkEnd w:id="37"/>
      <w:bookmarkStart w:id="38" w:name="_Toc184312084"/>
      <w:bookmarkEnd w:id="38"/>
      <w:bookmarkStart w:id="39" w:name="_Toc184313254"/>
      <w:bookmarkEnd w:id="39"/>
      <w:bookmarkStart w:id="40" w:name="_Toc184312131"/>
      <w:bookmarkEnd w:id="40"/>
      <w:bookmarkStart w:id="41" w:name="_Toc184308051"/>
      <w:bookmarkEnd w:id="41"/>
      <w:bookmarkStart w:id="42" w:name="_Toc184310288"/>
      <w:bookmarkEnd w:id="42"/>
      <w:bookmarkStart w:id="43" w:name="_Toc184313263"/>
      <w:bookmarkEnd w:id="43"/>
      <w:bookmarkStart w:id="44" w:name="_Toc184313265"/>
      <w:bookmarkEnd w:id="44"/>
      <w:bookmarkStart w:id="45" w:name="_Toc184313288"/>
      <w:bookmarkEnd w:id="45"/>
      <w:bookmarkStart w:id="46" w:name="_Toc184314439"/>
      <w:bookmarkEnd w:id="46"/>
      <w:bookmarkStart w:id="47" w:name="_Toc184312090"/>
      <w:bookmarkEnd w:id="47"/>
      <w:bookmarkStart w:id="48" w:name="_Toc184310298"/>
      <w:bookmarkEnd w:id="48"/>
      <w:bookmarkStart w:id="49" w:name="_Toc184310310"/>
      <w:bookmarkEnd w:id="49"/>
      <w:bookmarkStart w:id="50" w:name="_Toc184308101"/>
      <w:bookmarkEnd w:id="50"/>
      <w:bookmarkStart w:id="51" w:name="_Toc184310278"/>
      <w:bookmarkEnd w:id="51"/>
      <w:bookmarkStart w:id="52" w:name="_Toc184312069"/>
      <w:bookmarkEnd w:id="52"/>
      <w:bookmarkStart w:id="53" w:name="_Toc184314434"/>
      <w:bookmarkEnd w:id="53"/>
      <w:bookmarkStart w:id="54" w:name="_Toc184310312"/>
      <w:bookmarkEnd w:id="54"/>
      <w:bookmarkStart w:id="55" w:name="_Toc184314459"/>
      <w:bookmarkEnd w:id="55"/>
      <w:bookmarkStart w:id="56" w:name="_Toc184310304"/>
      <w:bookmarkEnd w:id="56"/>
      <w:bookmarkStart w:id="57" w:name="_Toc184310311"/>
      <w:bookmarkEnd w:id="57"/>
      <w:bookmarkStart w:id="58" w:name="_Toc184314425"/>
      <w:bookmarkEnd w:id="58"/>
      <w:bookmarkStart w:id="59" w:name="_Toc184312088"/>
      <w:bookmarkEnd w:id="59"/>
      <w:bookmarkStart w:id="60" w:name="_Toc184310282"/>
      <w:bookmarkEnd w:id="60"/>
      <w:bookmarkStart w:id="61" w:name="_Toc184314417"/>
      <w:bookmarkEnd w:id="61"/>
      <w:bookmarkStart w:id="62" w:name="_Toc184313272"/>
      <w:bookmarkEnd w:id="62"/>
      <w:bookmarkStart w:id="63" w:name="_Toc184308066"/>
      <w:bookmarkEnd w:id="63"/>
      <w:bookmarkStart w:id="64" w:name="_Toc184314445"/>
      <w:bookmarkEnd w:id="64"/>
      <w:bookmarkStart w:id="65" w:name="_Toc184313241"/>
      <w:bookmarkEnd w:id="65"/>
      <w:bookmarkStart w:id="66" w:name="_Toc184310284"/>
      <w:bookmarkEnd w:id="66"/>
      <w:bookmarkStart w:id="67" w:name="_Toc184314426"/>
      <w:bookmarkEnd w:id="67"/>
      <w:bookmarkStart w:id="68" w:name="_Toc184312109"/>
      <w:bookmarkEnd w:id="68"/>
      <w:bookmarkStart w:id="69" w:name="_Toc184312093"/>
      <w:bookmarkEnd w:id="69"/>
      <w:bookmarkStart w:id="70" w:name="_Toc184310342"/>
      <w:bookmarkEnd w:id="70"/>
      <w:bookmarkStart w:id="71" w:name="_Toc184312112"/>
      <w:bookmarkEnd w:id="71"/>
      <w:bookmarkStart w:id="72" w:name="_Toc184308108"/>
      <w:bookmarkEnd w:id="72"/>
      <w:bookmarkStart w:id="73" w:name="_Toc184312091"/>
      <w:bookmarkEnd w:id="73"/>
      <w:bookmarkStart w:id="74" w:name="_Toc184314432"/>
      <w:bookmarkEnd w:id="74"/>
      <w:bookmarkStart w:id="75" w:name="_Toc184312081"/>
      <w:bookmarkEnd w:id="75"/>
      <w:bookmarkStart w:id="76" w:name="_Toc184313273"/>
      <w:bookmarkEnd w:id="76"/>
      <w:bookmarkStart w:id="77" w:name="_Toc184310322"/>
      <w:bookmarkEnd w:id="77"/>
      <w:bookmarkStart w:id="78" w:name="_Toc184312113"/>
      <w:bookmarkEnd w:id="78"/>
      <w:bookmarkStart w:id="79" w:name="_Toc184313283"/>
      <w:bookmarkEnd w:id="79"/>
      <w:bookmarkStart w:id="80" w:name="_Toc184313284"/>
      <w:bookmarkEnd w:id="80"/>
      <w:bookmarkStart w:id="81" w:name="_Toc184313249"/>
      <w:bookmarkEnd w:id="81"/>
      <w:bookmarkStart w:id="82" w:name="_Toc184310295"/>
      <w:bookmarkEnd w:id="82"/>
      <w:bookmarkStart w:id="83" w:name="_Toc184313291"/>
      <w:bookmarkEnd w:id="83"/>
      <w:bookmarkStart w:id="84" w:name="_Toc184310313"/>
      <w:bookmarkEnd w:id="84"/>
      <w:bookmarkStart w:id="85" w:name="_Toc184312121"/>
      <w:bookmarkEnd w:id="85"/>
      <w:bookmarkStart w:id="86" w:name="_Toc184310343"/>
      <w:bookmarkEnd w:id="86"/>
      <w:bookmarkStart w:id="87" w:name="_Toc184312128"/>
      <w:bookmarkEnd w:id="87"/>
      <w:bookmarkStart w:id="88" w:name="_Toc184314410"/>
      <w:bookmarkEnd w:id="88"/>
      <w:bookmarkStart w:id="89" w:name="_Toc184308083"/>
      <w:bookmarkEnd w:id="89"/>
      <w:bookmarkStart w:id="90" w:name="_Toc184312072"/>
      <w:bookmarkEnd w:id="90"/>
      <w:bookmarkStart w:id="91" w:name="_Toc184308098"/>
      <w:bookmarkEnd w:id="91"/>
      <w:bookmarkStart w:id="92" w:name="_Toc184313247"/>
      <w:bookmarkEnd w:id="92"/>
      <w:bookmarkStart w:id="93" w:name="_Toc184308073"/>
      <w:bookmarkEnd w:id="93"/>
      <w:bookmarkStart w:id="94" w:name="_Toc184308047"/>
      <w:bookmarkEnd w:id="94"/>
      <w:bookmarkStart w:id="95" w:name="_Toc184312102"/>
      <w:bookmarkEnd w:id="95"/>
      <w:bookmarkStart w:id="96" w:name="_Toc184310285"/>
      <w:bookmarkEnd w:id="96"/>
      <w:bookmarkStart w:id="97" w:name="_Toc184312085"/>
      <w:bookmarkEnd w:id="97"/>
      <w:bookmarkStart w:id="98" w:name="_Toc184308056"/>
      <w:bookmarkEnd w:id="98"/>
      <w:bookmarkStart w:id="99" w:name="_Toc184310326"/>
      <w:bookmarkEnd w:id="99"/>
      <w:bookmarkStart w:id="100" w:name="_Toc184310308"/>
      <w:bookmarkEnd w:id="100"/>
      <w:bookmarkStart w:id="101" w:name="_Toc184310297"/>
      <w:bookmarkEnd w:id="101"/>
      <w:bookmarkStart w:id="102" w:name="_Toc184313266"/>
      <w:bookmarkEnd w:id="102"/>
      <w:bookmarkStart w:id="103" w:name="_Toc184310299"/>
      <w:bookmarkEnd w:id="103"/>
      <w:bookmarkStart w:id="104" w:name="_Toc184312067"/>
      <w:bookmarkEnd w:id="104"/>
      <w:bookmarkStart w:id="105" w:name="_Toc184314428"/>
      <w:bookmarkEnd w:id="105"/>
      <w:bookmarkStart w:id="106" w:name="_Toc184313271"/>
      <w:bookmarkEnd w:id="106"/>
      <w:bookmarkStart w:id="107" w:name="_Toc184310283"/>
      <w:bookmarkEnd w:id="107"/>
      <w:bookmarkStart w:id="108" w:name="_Toc184313308"/>
      <w:bookmarkEnd w:id="108"/>
      <w:bookmarkStart w:id="109" w:name="_Toc184314441"/>
      <w:bookmarkEnd w:id="109"/>
      <w:bookmarkStart w:id="110" w:name="_Toc184312107"/>
      <w:bookmarkEnd w:id="110"/>
      <w:bookmarkStart w:id="111" w:name="_Toc184312130"/>
      <w:bookmarkEnd w:id="111"/>
      <w:bookmarkStart w:id="112" w:name="_Toc184310325"/>
      <w:bookmarkEnd w:id="112"/>
      <w:bookmarkStart w:id="113" w:name="_Toc184314421"/>
      <w:bookmarkEnd w:id="113"/>
      <w:bookmarkStart w:id="114" w:name="_Toc184312139"/>
      <w:bookmarkEnd w:id="114"/>
      <w:bookmarkStart w:id="115" w:name="_Toc184313259"/>
      <w:bookmarkEnd w:id="115"/>
      <w:bookmarkStart w:id="116" w:name="_Toc184308087"/>
      <w:bookmarkEnd w:id="116"/>
      <w:bookmarkStart w:id="117" w:name="_Toc184312117"/>
      <w:bookmarkEnd w:id="117"/>
      <w:bookmarkStart w:id="118" w:name="_Toc184314443"/>
      <w:bookmarkEnd w:id="118"/>
      <w:bookmarkStart w:id="119" w:name="_Toc184308074"/>
      <w:bookmarkEnd w:id="119"/>
      <w:bookmarkStart w:id="120" w:name="_Toc184313286"/>
      <w:bookmarkEnd w:id="120"/>
      <w:bookmarkStart w:id="121" w:name="_Toc184314446"/>
      <w:bookmarkEnd w:id="121"/>
      <w:bookmarkStart w:id="122" w:name="_Toc184314480"/>
      <w:bookmarkEnd w:id="122"/>
      <w:bookmarkStart w:id="123" w:name="_Toc184312079"/>
      <w:bookmarkEnd w:id="123"/>
      <w:bookmarkStart w:id="124" w:name="_Toc184310328"/>
      <w:bookmarkEnd w:id="124"/>
      <w:bookmarkStart w:id="125" w:name="_Toc184313257"/>
      <w:bookmarkEnd w:id="125"/>
      <w:bookmarkStart w:id="126" w:name="_Toc184313301"/>
      <w:bookmarkEnd w:id="126"/>
      <w:bookmarkStart w:id="127" w:name="_Toc184312118"/>
      <w:bookmarkEnd w:id="127"/>
      <w:bookmarkStart w:id="128" w:name="_Toc184308092"/>
      <w:bookmarkEnd w:id="128"/>
      <w:bookmarkStart w:id="129" w:name="_Toc184313306"/>
      <w:bookmarkEnd w:id="129"/>
      <w:bookmarkStart w:id="130" w:name="_Toc184308060"/>
      <w:bookmarkEnd w:id="130"/>
      <w:bookmarkStart w:id="131" w:name="_Toc184308043"/>
      <w:bookmarkEnd w:id="131"/>
      <w:bookmarkStart w:id="132" w:name="_Toc184312120"/>
      <w:bookmarkEnd w:id="132"/>
      <w:bookmarkStart w:id="133" w:name="_Toc184310341"/>
      <w:bookmarkEnd w:id="133"/>
      <w:bookmarkStart w:id="134" w:name="_Toc184308059"/>
      <w:bookmarkEnd w:id="134"/>
      <w:bookmarkStart w:id="135" w:name="_Toc184313274"/>
      <w:bookmarkEnd w:id="135"/>
      <w:bookmarkStart w:id="136" w:name="_Toc184312129"/>
      <w:bookmarkEnd w:id="136"/>
      <w:bookmarkStart w:id="137" w:name="_Toc184310277"/>
      <w:bookmarkEnd w:id="137"/>
      <w:bookmarkStart w:id="138" w:name="_Toc184310289"/>
      <w:bookmarkEnd w:id="138"/>
      <w:bookmarkStart w:id="139" w:name="_Toc184310301"/>
      <w:bookmarkEnd w:id="139"/>
      <w:bookmarkStart w:id="140" w:name="_Toc184312074"/>
      <w:bookmarkEnd w:id="140"/>
      <w:bookmarkStart w:id="141" w:name="_Toc184310302"/>
      <w:bookmarkEnd w:id="141"/>
      <w:bookmarkStart w:id="142" w:name="_Toc184310317"/>
      <w:bookmarkEnd w:id="142"/>
      <w:bookmarkStart w:id="143" w:name="_Toc184313307"/>
      <w:bookmarkEnd w:id="143"/>
      <w:bookmarkStart w:id="144" w:name="_Toc184314479"/>
      <w:bookmarkEnd w:id="144"/>
      <w:bookmarkStart w:id="145" w:name="_Toc184313295"/>
      <w:bookmarkEnd w:id="145"/>
      <w:bookmarkStart w:id="146" w:name="_Toc184313250"/>
      <w:bookmarkEnd w:id="146"/>
      <w:bookmarkStart w:id="147" w:name="_Toc184308057"/>
      <w:bookmarkEnd w:id="147"/>
      <w:bookmarkStart w:id="148" w:name="_Toc184314442"/>
      <w:bookmarkEnd w:id="148"/>
      <w:bookmarkStart w:id="149" w:name="_Toc184310305"/>
      <w:bookmarkEnd w:id="149"/>
      <w:bookmarkStart w:id="150" w:name="_Toc184308064"/>
      <w:bookmarkEnd w:id="150"/>
      <w:bookmarkStart w:id="151" w:name="_Toc184310287"/>
      <w:bookmarkEnd w:id="151"/>
      <w:bookmarkStart w:id="152" w:name="_Toc184312083"/>
      <w:bookmarkEnd w:id="152"/>
      <w:bookmarkStart w:id="153" w:name="_Toc184314473"/>
      <w:bookmarkEnd w:id="153"/>
      <w:bookmarkStart w:id="154" w:name="_Toc184310274"/>
      <w:bookmarkEnd w:id="154"/>
      <w:bookmarkStart w:id="155" w:name="_Toc184314429"/>
      <w:bookmarkEnd w:id="155"/>
      <w:bookmarkStart w:id="156" w:name="_Toc184314430"/>
      <w:bookmarkEnd w:id="156"/>
      <w:bookmarkStart w:id="157" w:name="_Toc184308093"/>
      <w:bookmarkEnd w:id="157"/>
      <w:bookmarkStart w:id="158" w:name="_Toc184312082"/>
      <w:bookmarkEnd w:id="158"/>
      <w:bookmarkStart w:id="159" w:name="_Toc184308053"/>
      <w:bookmarkEnd w:id="159"/>
      <w:bookmarkStart w:id="160" w:name="_Toc184310333"/>
      <w:bookmarkEnd w:id="160"/>
      <w:bookmarkStart w:id="161" w:name="_Toc184308096"/>
      <w:bookmarkEnd w:id="161"/>
      <w:bookmarkStart w:id="162" w:name="_Toc184313292"/>
      <w:bookmarkEnd w:id="162"/>
      <w:bookmarkStart w:id="163" w:name="_Toc184308099"/>
      <w:bookmarkEnd w:id="163"/>
      <w:bookmarkStart w:id="164" w:name="_Toc184312096"/>
      <w:bookmarkEnd w:id="164"/>
      <w:bookmarkStart w:id="165" w:name="_Toc184308106"/>
      <w:bookmarkEnd w:id="165"/>
      <w:bookmarkStart w:id="166" w:name="_Toc184312104"/>
      <w:bookmarkEnd w:id="166"/>
      <w:bookmarkStart w:id="167" w:name="_Toc184314477"/>
      <w:bookmarkEnd w:id="167"/>
      <w:bookmarkStart w:id="168" w:name="_Toc184312106"/>
      <w:bookmarkEnd w:id="168"/>
      <w:bookmarkStart w:id="169" w:name="_Toc184310331"/>
      <w:bookmarkEnd w:id="169"/>
      <w:bookmarkStart w:id="170" w:name="_Toc184312078"/>
      <w:bookmarkEnd w:id="170"/>
      <w:bookmarkStart w:id="171" w:name="_Toc184308081"/>
      <w:bookmarkEnd w:id="171"/>
      <w:bookmarkStart w:id="172" w:name="_Toc184312076"/>
      <w:bookmarkEnd w:id="172"/>
      <w:bookmarkStart w:id="173" w:name="_Toc184314440"/>
      <w:bookmarkEnd w:id="173"/>
      <w:bookmarkStart w:id="174" w:name="_Toc184312077"/>
      <w:bookmarkEnd w:id="174"/>
      <w:bookmarkStart w:id="175" w:name="_Toc184308077"/>
      <w:bookmarkEnd w:id="175"/>
      <w:bookmarkStart w:id="176" w:name="_Toc184308058"/>
      <w:bookmarkEnd w:id="176"/>
      <w:bookmarkStart w:id="177" w:name="_Toc184308068"/>
      <w:bookmarkEnd w:id="177"/>
      <w:bookmarkStart w:id="178" w:name="_Toc184310316"/>
      <w:bookmarkEnd w:id="178"/>
      <w:bookmarkStart w:id="179" w:name="_Toc184312080"/>
      <w:bookmarkEnd w:id="179"/>
      <w:bookmarkStart w:id="180" w:name="_Toc184314468"/>
      <w:bookmarkEnd w:id="180"/>
      <w:bookmarkStart w:id="181" w:name="_Toc184313244"/>
      <w:bookmarkEnd w:id="181"/>
      <w:bookmarkStart w:id="182" w:name="_Toc184308082"/>
      <w:bookmarkEnd w:id="182"/>
      <w:bookmarkStart w:id="183" w:name="_Toc184308079"/>
      <w:bookmarkEnd w:id="183"/>
      <w:bookmarkStart w:id="184" w:name="_Toc184313246"/>
      <w:bookmarkEnd w:id="184"/>
      <w:bookmarkStart w:id="185" w:name="_Toc184313310"/>
      <w:bookmarkEnd w:id="185"/>
      <w:bookmarkStart w:id="186" w:name="_Toc184310294"/>
      <w:bookmarkEnd w:id="186"/>
      <w:bookmarkStart w:id="187" w:name="_Toc184308055"/>
      <w:bookmarkEnd w:id="187"/>
      <w:bookmarkStart w:id="188" w:name="_Toc184312097"/>
      <w:bookmarkEnd w:id="188"/>
      <w:bookmarkStart w:id="189" w:name="_Toc184308097"/>
      <w:bookmarkEnd w:id="189"/>
      <w:bookmarkStart w:id="190" w:name="_Toc184310320"/>
      <w:bookmarkEnd w:id="190"/>
      <w:bookmarkStart w:id="191" w:name="_Toc184308061"/>
      <w:bookmarkEnd w:id="191"/>
      <w:bookmarkStart w:id="192" w:name="_Toc184312134"/>
      <w:bookmarkEnd w:id="192"/>
      <w:bookmarkStart w:id="193" w:name="_Toc184314416"/>
      <w:bookmarkEnd w:id="193"/>
      <w:bookmarkStart w:id="194" w:name="_Toc184310281"/>
      <w:bookmarkEnd w:id="194"/>
      <w:bookmarkStart w:id="195" w:name="_Toc184313252"/>
      <w:bookmarkEnd w:id="195"/>
      <w:bookmarkStart w:id="196" w:name="_Toc184308086"/>
      <w:bookmarkEnd w:id="196"/>
      <w:bookmarkStart w:id="197" w:name="_Toc184312135"/>
      <w:bookmarkEnd w:id="197"/>
      <w:bookmarkStart w:id="198" w:name="_Toc184308045"/>
      <w:bookmarkEnd w:id="198"/>
      <w:bookmarkStart w:id="199" w:name="_Toc184312073"/>
      <w:bookmarkEnd w:id="199"/>
      <w:bookmarkStart w:id="200" w:name="_Toc184310291"/>
      <w:bookmarkEnd w:id="200"/>
      <w:bookmarkStart w:id="201" w:name="_Toc184312100"/>
      <w:bookmarkEnd w:id="201"/>
      <w:bookmarkStart w:id="202" w:name="_Toc184310336"/>
      <w:bookmarkEnd w:id="202"/>
      <w:bookmarkStart w:id="203" w:name="_Toc184308036"/>
      <w:bookmarkEnd w:id="203"/>
      <w:bookmarkStart w:id="204" w:name="_Toc184308088"/>
      <w:bookmarkEnd w:id="204"/>
      <w:bookmarkStart w:id="205" w:name="_Toc184313261"/>
      <w:bookmarkEnd w:id="205"/>
      <w:bookmarkStart w:id="206" w:name="_Toc184313256"/>
      <w:bookmarkEnd w:id="206"/>
      <w:bookmarkStart w:id="207" w:name="_Toc184314414"/>
      <w:bookmarkEnd w:id="207"/>
      <w:bookmarkStart w:id="208" w:name="_Toc184312122"/>
      <w:bookmarkEnd w:id="208"/>
      <w:bookmarkStart w:id="209" w:name="_Toc184314447"/>
      <w:bookmarkEnd w:id="209"/>
      <w:bookmarkStart w:id="210" w:name="_Toc184314462"/>
      <w:bookmarkEnd w:id="210"/>
      <w:bookmarkStart w:id="211" w:name="_Toc184313309"/>
      <w:bookmarkEnd w:id="211"/>
      <w:bookmarkStart w:id="212" w:name="_Toc184314452"/>
      <w:bookmarkEnd w:id="212"/>
      <w:bookmarkStart w:id="213" w:name="_Toc184313245"/>
      <w:bookmarkEnd w:id="213"/>
      <w:bookmarkStart w:id="214" w:name="_Toc184314476"/>
      <w:bookmarkEnd w:id="214"/>
      <w:bookmarkStart w:id="215" w:name="_Toc184313258"/>
      <w:bookmarkEnd w:id="215"/>
      <w:bookmarkStart w:id="216" w:name="_Toc184314463"/>
      <w:bookmarkEnd w:id="216"/>
      <w:bookmarkStart w:id="217" w:name="_Toc184312110"/>
      <w:bookmarkEnd w:id="217"/>
      <w:bookmarkStart w:id="218" w:name="_Toc184313280"/>
      <w:bookmarkEnd w:id="218"/>
      <w:bookmarkStart w:id="219" w:name="_Toc184314461"/>
      <w:bookmarkEnd w:id="219"/>
      <w:bookmarkStart w:id="220" w:name="_Toc184314460"/>
      <w:bookmarkEnd w:id="220"/>
      <w:bookmarkStart w:id="221" w:name="_Toc184310314"/>
      <w:bookmarkEnd w:id="221"/>
      <w:bookmarkStart w:id="222" w:name="_Toc184314451"/>
      <w:bookmarkEnd w:id="222"/>
      <w:bookmarkStart w:id="223" w:name="_Toc184312075"/>
      <w:bookmarkEnd w:id="223"/>
      <w:bookmarkStart w:id="224" w:name="_Toc184310293"/>
      <w:bookmarkEnd w:id="224"/>
      <w:bookmarkStart w:id="225" w:name="_Toc184313279"/>
      <w:bookmarkEnd w:id="225"/>
      <w:bookmarkStart w:id="226" w:name="_Toc184312105"/>
      <w:bookmarkEnd w:id="226"/>
      <w:bookmarkStart w:id="227" w:name="_Toc184312138"/>
      <w:bookmarkEnd w:id="227"/>
      <w:bookmarkStart w:id="228" w:name="_Toc184308044"/>
      <w:bookmarkEnd w:id="228"/>
      <w:bookmarkStart w:id="229" w:name="_Toc184310332"/>
      <w:bookmarkEnd w:id="229"/>
      <w:bookmarkStart w:id="230" w:name="_Toc184308037"/>
      <w:bookmarkEnd w:id="230"/>
      <w:bookmarkStart w:id="231" w:name="_Toc184308104"/>
      <w:bookmarkEnd w:id="231"/>
      <w:bookmarkStart w:id="232" w:name="_Toc184313264"/>
      <w:bookmarkEnd w:id="232"/>
      <w:bookmarkStart w:id="233" w:name="_Toc184314437"/>
      <w:bookmarkEnd w:id="233"/>
      <w:bookmarkStart w:id="234" w:name="_Toc184313243"/>
      <w:bookmarkEnd w:id="234"/>
      <w:bookmarkStart w:id="235" w:name="_Toc184310307"/>
      <w:bookmarkEnd w:id="235"/>
      <w:bookmarkStart w:id="236" w:name="_Toc184313302"/>
      <w:bookmarkEnd w:id="236"/>
      <w:bookmarkStart w:id="237" w:name="_Toc184313248"/>
      <w:bookmarkEnd w:id="237"/>
      <w:bookmarkStart w:id="238" w:name="_Toc184314436"/>
      <w:bookmarkEnd w:id="238"/>
      <w:bookmarkStart w:id="239" w:name="_Toc184310315"/>
      <w:bookmarkEnd w:id="239"/>
      <w:bookmarkStart w:id="240" w:name="_Toc184308072"/>
      <w:bookmarkEnd w:id="240"/>
      <w:bookmarkStart w:id="241" w:name="_Toc184313294"/>
      <w:bookmarkEnd w:id="241"/>
      <w:bookmarkStart w:id="242" w:name="_Toc184310337"/>
      <w:bookmarkEnd w:id="242"/>
      <w:bookmarkStart w:id="243" w:name="_Toc184310324"/>
      <w:bookmarkEnd w:id="243"/>
      <w:bookmarkStart w:id="244" w:name="_Toc184314467"/>
      <w:bookmarkEnd w:id="244"/>
      <w:bookmarkStart w:id="245" w:name="_Toc184314438"/>
      <w:bookmarkEnd w:id="245"/>
      <w:bookmarkStart w:id="246" w:name="_Toc184312086"/>
      <w:bookmarkEnd w:id="246"/>
      <w:bookmarkStart w:id="247" w:name="_Toc184312095"/>
      <w:bookmarkEnd w:id="247"/>
      <w:bookmarkStart w:id="248" w:name="_Toc184314471"/>
      <w:bookmarkEnd w:id="248"/>
      <w:bookmarkStart w:id="249" w:name="_Toc184310292"/>
      <w:bookmarkEnd w:id="249"/>
      <w:bookmarkStart w:id="250" w:name="_Toc184314482"/>
      <w:bookmarkEnd w:id="250"/>
      <w:bookmarkStart w:id="251" w:name="_Toc184312133"/>
      <w:bookmarkEnd w:id="251"/>
      <w:bookmarkStart w:id="252" w:name="_Toc184308100"/>
      <w:bookmarkEnd w:id="252"/>
      <w:bookmarkStart w:id="253" w:name="_Toc184308095"/>
      <w:bookmarkEnd w:id="253"/>
      <w:bookmarkStart w:id="254" w:name="_Toc184312124"/>
      <w:bookmarkEnd w:id="254"/>
      <w:bookmarkStart w:id="255" w:name="_Toc184308054"/>
      <w:bookmarkEnd w:id="255"/>
      <w:bookmarkStart w:id="256" w:name="_Toc184312125"/>
      <w:bookmarkEnd w:id="256"/>
      <w:bookmarkStart w:id="257" w:name="_Toc184314427"/>
      <w:bookmarkEnd w:id="257"/>
      <w:bookmarkStart w:id="258" w:name="_Toc184312103"/>
      <w:bookmarkEnd w:id="258"/>
      <w:bookmarkStart w:id="259" w:name="_Toc184313298"/>
      <w:bookmarkEnd w:id="259"/>
      <w:bookmarkStart w:id="260" w:name="_Toc184308105"/>
      <w:bookmarkEnd w:id="260"/>
      <w:bookmarkStart w:id="261" w:name="_Toc184313290"/>
      <w:bookmarkEnd w:id="261"/>
      <w:bookmarkStart w:id="262" w:name="_Toc184314449"/>
      <w:bookmarkEnd w:id="262"/>
      <w:bookmarkStart w:id="263" w:name="_Toc184310340"/>
      <w:bookmarkEnd w:id="263"/>
      <w:bookmarkStart w:id="264" w:name="_Toc184310306"/>
      <w:bookmarkEnd w:id="264"/>
      <w:bookmarkStart w:id="265" w:name="_Toc184308076"/>
      <w:bookmarkEnd w:id="265"/>
      <w:bookmarkStart w:id="266" w:name="_Toc184313304"/>
      <w:bookmarkEnd w:id="266"/>
      <w:bookmarkStart w:id="267" w:name="_Toc184313238"/>
      <w:bookmarkEnd w:id="267"/>
      <w:bookmarkStart w:id="268" w:name="_Toc184313285"/>
      <w:bookmarkEnd w:id="268"/>
      <w:bookmarkStart w:id="269" w:name="_Toc184308070"/>
      <w:bookmarkEnd w:id="269"/>
      <w:bookmarkStart w:id="270" w:name="_Toc184308085"/>
      <w:bookmarkEnd w:id="270"/>
      <w:bookmarkStart w:id="271" w:name="_Toc184308063"/>
      <w:bookmarkEnd w:id="271"/>
      <w:bookmarkStart w:id="272" w:name="_Toc184314419"/>
      <w:bookmarkEnd w:id="272"/>
      <w:bookmarkStart w:id="273" w:name="_Toc184310318"/>
      <w:bookmarkEnd w:id="273"/>
      <w:bookmarkStart w:id="274" w:name="_Toc184313269"/>
      <w:bookmarkEnd w:id="274"/>
      <w:bookmarkStart w:id="275" w:name="_Toc184310321"/>
      <w:bookmarkEnd w:id="275"/>
      <w:bookmarkStart w:id="276" w:name="_Toc184312071"/>
      <w:bookmarkEnd w:id="276"/>
      <w:bookmarkStart w:id="277" w:name="_Toc184313270"/>
      <w:bookmarkEnd w:id="277"/>
      <w:bookmarkStart w:id="278" w:name="_Toc184313277"/>
      <w:bookmarkEnd w:id="278"/>
      <w:bookmarkStart w:id="279" w:name="_Toc184310335"/>
      <w:bookmarkEnd w:id="279"/>
      <w:bookmarkStart w:id="280" w:name="_Toc184312115"/>
      <w:bookmarkEnd w:id="280"/>
      <w:bookmarkStart w:id="281" w:name="_Toc184312116"/>
      <w:bookmarkEnd w:id="281"/>
      <w:bookmarkStart w:id="282" w:name="_Toc184312111"/>
      <w:bookmarkEnd w:id="282"/>
      <w:bookmarkStart w:id="283" w:name="_Toc184308048"/>
      <w:bookmarkEnd w:id="283"/>
      <w:bookmarkStart w:id="284" w:name="_Toc184313275"/>
      <w:bookmarkEnd w:id="284"/>
      <w:bookmarkStart w:id="285" w:name="_Toc184308094"/>
      <w:bookmarkEnd w:id="285"/>
      <w:bookmarkStart w:id="286" w:name="_Toc184308107"/>
      <w:bookmarkEnd w:id="286"/>
      <w:bookmarkStart w:id="287" w:name="_Toc184308042"/>
      <w:bookmarkEnd w:id="287"/>
      <w:bookmarkStart w:id="288" w:name="_Toc184314472"/>
      <w:bookmarkEnd w:id="288"/>
      <w:bookmarkStart w:id="289" w:name="_Toc184313305"/>
      <w:bookmarkEnd w:id="289"/>
      <w:bookmarkStart w:id="290" w:name="_Toc184313242"/>
      <w:bookmarkEnd w:id="290"/>
      <w:bookmarkStart w:id="291" w:name="_Toc184314457"/>
      <w:bookmarkEnd w:id="291"/>
      <w:bookmarkStart w:id="292" w:name="_Toc184310327"/>
      <w:bookmarkEnd w:id="292"/>
      <w:bookmarkStart w:id="293" w:name="_Toc184314466"/>
      <w:bookmarkEnd w:id="293"/>
      <w:bookmarkStart w:id="294" w:name="_Toc184314453"/>
      <w:bookmarkEnd w:id="294"/>
      <w:bookmarkStart w:id="295" w:name="_Toc184312098"/>
      <w:bookmarkEnd w:id="295"/>
      <w:bookmarkStart w:id="296" w:name="_Toc184310344"/>
      <w:bookmarkEnd w:id="296"/>
      <w:bookmarkStart w:id="297" w:name="_Toc184313276"/>
      <w:bookmarkEnd w:id="297"/>
      <w:bookmarkStart w:id="298" w:name="_Toc184308041"/>
      <w:bookmarkEnd w:id="298"/>
      <w:bookmarkStart w:id="299" w:name="_Toc184310296"/>
      <w:bookmarkEnd w:id="299"/>
      <w:bookmarkStart w:id="300" w:name="_Toc184308069"/>
      <w:bookmarkEnd w:id="300"/>
      <w:bookmarkStart w:id="301" w:name="_Toc184310275"/>
      <w:bookmarkEnd w:id="301"/>
      <w:bookmarkStart w:id="302" w:name="_Toc184313281"/>
      <w:bookmarkEnd w:id="302"/>
      <w:bookmarkStart w:id="303" w:name="_Toc184313268"/>
      <w:bookmarkEnd w:id="303"/>
      <w:bookmarkStart w:id="304" w:name="_Toc184308062"/>
      <w:bookmarkEnd w:id="304"/>
      <w:bookmarkStart w:id="305" w:name="_Toc184313287"/>
      <w:bookmarkEnd w:id="305"/>
      <w:bookmarkStart w:id="306" w:name="_Toc184312099"/>
      <w:bookmarkEnd w:id="306"/>
      <w:bookmarkStart w:id="307" w:name="_Toc184313297"/>
      <w:bookmarkEnd w:id="307"/>
      <w:bookmarkStart w:id="308" w:name="_Toc184312114"/>
      <w:bookmarkEnd w:id="308"/>
      <w:bookmarkStart w:id="309" w:name="_Toc184314464"/>
      <w:bookmarkEnd w:id="309"/>
      <w:bookmarkStart w:id="310" w:name="_Toc184310273"/>
      <w:bookmarkEnd w:id="310"/>
      <w:bookmarkStart w:id="311" w:name="_Toc184308050"/>
      <w:bookmarkEnd w:id="311"/>
      <w:bookmarkStart w:id="312" w:name="_Toc184312136"/>
      <w:bookmarkEnd w:id="312"/>
      <w:bookmarkStart w:id="313" w:name="_Toc184308071"/>
      <w:bookmarkEnd w:id="313"/>
      <w:bookmarkStart w:id="314" w:name="_Toc184313262"/>
      <w:bookmarkEnd w:id="314"/>
      <w:bookmarkStart w:id="315" w:name="_Toc184313267"/>
      <w:bookmarkEnd w:id="315"/>
      <w:bookmarkStart w:id="316" w:name="_Toc184310309"/>
      <w:bookmarkEnd w:id="316"/>
      <w:bookmarkStart w:id="317" w:name="_Toc184308049"/>
      <w:bookmarkEnd w:id="317"/>
      <w:bookmarkStart w:id="318" w:name="_Toc184314469"/>
      <w:bookmarkEnd w:id="318"/>
      <w:bookmarkStart w:id="319" w:name="_Toc184310286"/>
      <w:bookmarkEnd w:id="319"/>
      <w:bookmarkStart w:id="320" w:name="_Toc184314420"/>
      <w:bookmarkEnd w:id="320"/>
      <w:bookmarkStart w:id="321" w:name="_Toc184312127"/>
      <w:bookmarkEnd w:id="321"/>
      <w:bookmarkStart w:id="322" w:name="_Toc184313299"/>
      <w:bookmarkEnd w:id="322"/>
      <w:bookmarkStart w:id="323" w:name="_Toc184308039"/>
      <w:bookmarkEnd w:id="323"/>
      <w:bookmarkStart w:id="324" w:name="_Toc184313255"/>
      <w:bookmarkEnd w:id="324"/>
      <w:bookmarkStart w:id="325" w:name="_Toc184312068"/>
      <w:bookmarkEnd w:id="325"/>
      <w:bookmarkStart w:id="326" w:name="_Toc184312137"/>
      <w:bookmarkEnd w:id="326"/>
      <w:bookmarkStart w:id="327" w:name="_Toc184313240"/>
      <w:bookmarkEnd w:id="327"/>
      <w:bookmarkStart w:id="328" w:name="_Toc184308089"/>
      <w:bookmarkEnd w:id="328"/>
      <w:bookmarkStart w:id="329" w:name="_Toc184312123"/>
      <w:bookmarkEnd w:id="329"/>
      <w:bookmarkStart w:id="330" w:name="_Toc184308065"/>
      <w:bookmarkEnd w:id="330"/>
      <w:bookmarkStart w:id="331" w:name="_Toc184314448"/>
      <w:bookmarkEnd w:id="331"/>
      <w:bookmarkStart w:id="332" w:name="_Toc184308075"/>
      <w:bookmarkEnd w:id="332"/>
      <w:bookmarkStart w:id="333" w:name="_Toc184314478"/>
      <w:bookmarkEnd w:id="333"/>
      <w:bookmarkStart w:id="334" w:name="_Toc184312126"/>
      <w:bookmarkEnd w:id="334"/>
      <w:bookmarkStart w:id="335" w:name="_Toc184313296"/>
      <w:bookmarkEnd w:id="335"/>
      <w:bookmarkStart w:id="336" w:name="_Toc184314475"/>
      <w:bookmarkEnd w:id="336"/>
      <w:bookmarkStart w:id="337" w:name="_Toc184308078"/>
      <w:bookmarkEnd w:id="337"/>
      <w:bookmarkStart w:id="338" w:name="_Toc184313253"/>
      <w:bookmarkEnd w:id="338"/>
      <w:bookmarkStart w:id="339" w:name="_Toc184314413"/>
      <w:bookmarkEnd w:id="339"/>
      <w:bookmarkStart w:id="340" w:name="_Toc184310303"/>
      <w:bookmarkEnd w:id="340"/>
      <w:bookmarkStart w:id="341" w:name="_Toc184312101"/>
      <w:bookmarkEnd w:id="341"/>
      <w:bookmarkStart w:id="342" w:name="_Toc184312119"/>
      <w:bookmarkEnd w:id="342"/>
      <w:bookmarkStart w:id="343" w:name="_Toc184313251"/>
      <w:bookmarkEnd w:id="343"/>
      <w:bookmarkStart w:id="344" w:name="_Toc184310290"/>
      <w:bookmarkEnd w:id="344"/>
      <w:bookmarkStart w:id="345" w:name="_Toc184314444"/>
      <w:bookmarkEnd w:id="345"/>
      <w:bookmarkStart w:id="346" w:name="_Toc184308046"/>
      <w:bookmarkEnd w:id="346"/>
      <w:bookmarkStart w:id="347" w:name="_Toc184312094"/>
      <w:bookmarkEnd w:id="347"/>
      <w:bookmarkStart w:id="348" w:name="_Toc184313278"/>
      <w:bookmarkEnd w:id="348"/>
      <w:bookmarkStart w:id="349" w:name="_Toc184308052"/>
      <w:bookmarkEnd w:id="349"/>
      <w:bookmarkStart w:id="350" w:name="_Toc184314424"/>
      <w:bookmarkEnd w:id="350"/>
      <w:bookmarkStart w:id="351" w:name="_Toc184314433"/>
      <w:bookmarkEnd w:id="351"/>
      <w:bookmarkStart w:id="352" w:name="_Toc184314415"/>
      <w:bookmarkEnd w:id="352"/>
      <w:bookmarkStart w:id="353" w:name="_Toc184308084"/>
      <w:bookmarkEnd w:id="353"/>
      <w:bookmarkStart w:id="354" w:name="_Toc184314474"/>
      <w:bookmarkEnd w:id="354"/>
      <w:bookmarkStart w:id="355" w:name="_Toc184312092"/>
      <w:bookmarkEnd w:id="355"/>
      <w:bookmarkStart w:id="356" w:name="_Toc184313289"/>
      <w:bookmarkEnd w:id="356"/>
      <w:bookmarkStart w:id="357" w:name="_Toc184310330"/>
      <w:bookmarkEnd w:id="357"/>
      <w:bookmarkStart w:id="358" w:name="_Toc184314456"/>
      <w:bookmarkEnd w:id="358"/>
      <w:bookmarkStart w:id="359" w:name="_Toc184313239"/>
      <w:bookmarkEnd w:id="359"/>
      <w:bookmarkStart w:id="360" w:name="_Toc184314481"/>
      <w:bookmarkEnd w:id="360"/>
      <w:bookmarkStart w:id="361" w:name="_Toc184314470"/>
      <w:bookmarkEnd w:id="361"/>
      <w:bookmarkStart w:id="362" w:name="_Toc184314465"/>
      <w:bookmarkEnd w:id="362"/>
      <w:bookmarkStart w:id="363" w:name="_Toc184308067"/>
      <w:bookmarkEnd w:id="363"/>
      <w:bookmarkStart w:id="364" w:name="_Toc184314418"/>
      <w:bookmarkEnd w:id="364"/>
      <w:bookmarkStart w:id="365" w:name="_Toc184308090"/>
      <w:bookmarkEnd w:id="365"/>
      <w:bookmarkStart w:id="366" w:name="_Toc184314455"/>
      <w:bookmarkEnd w:id="366"/>
      <w:bookmarkStart w:id="367" w:name="_Toc184310319"/>
      <w:bookmarkEnd w:id="367"/>
      <w:bookmarkStart w:id="368" w:name="_Toc184308102"/>
      <w:bookmarkEnd w:id="368"/>
      <w:bookmarkStart w:id="369" w:name="_Toc184312087"/>
      <w:bookmarkEnd w:id="369"/>
      <w:bookmarkStart w:id="370" w:name="_Toc184310300"/>
      <w:bookmarkEnd w:id="370"/>
      <w:bookmarkStart w:id="371" w:name="_Toc184312089"/>
      <w:bookmarkEnd w:id="371"/>
      <w:bookmarkStart w:id="372" w:name="_Toc184312108"/>
      <w:bookmarkEnd w:id="372"/>
      <w:bookmarkStart w:id="373" w:name="_Toc184314458"/>
      <w:bookmarkEnd w:id="373"/>
      <w:bookmarkStart w:id="374" w:name="_Toc184313282"/>
      <w:bookmarkEnd w:id="374"/>
      <w:bookmarkStart w:id="375" w:name="_Toc184308080"/>
      <w:bookmarkEnd w:id="375"/>
      <w:bookmarkStart w:id="376" w:name="_Toc184308103"/>
      <w:bookmarkEnd w:id="376"/>
      <w:bookmarkStart w:id="377" w:name="_Toc184313260"/>
      <w:bookmarkEnd w:id="377"/>
      <w:bookmarkStart w:id="378" w:name="_Toc184308040"/>
      <w:bookmarkEnd w:id="378"/>
      <w:bookmarkStart w:id="379" w:name="_Toc184312070"/>
      <w:bookmarkEnd w:id="379"/>
      <w:bookmarkStart w:id="380" w:name="_Toc184308038"/>
      <w:bookmarkEnd w:id="380"/>
      <w:bookmarkStart w:id="381" w:name="_Toc184310334"/>
      <w:bookmarkEnd w:id="381"/>
      <w:bookmarkStart w:id="382" w:name="_Toc184314450"/>
      <w:bookmarkEnd w:id="382"/>
      <w:bookmarkStart w:id="383" w:name="_Toc184310272"/>
      <w:bookmarkEnd w:id="383"/>
      <w:bookmarkStart w:id="384" w:name="_Toc184310329"/>
      <w:bookmarkEnd w:id="384"/>
      <w:bookmarkStart w:id="385" w:name="_Toc184310339"/>
      <w:bookmarkEnd w:id="385"/>
      <w:bookmarkStart w:id="386" w:name="_Toc184310280"/>
      <w:bookmarkEnd w:id="386"/>
      <w:bookmarkStart w:id="387" w:name="_Toc184312132"/>
      <w:bookmarkEnd w:id="387"/>
      <w:bookmarkStart w:id="388" w:name="_Toc184313303"/>
      <w:bookmarkEnd w:id="388"/>
      <w:r>
        <w:rPr>
          <w:rFonts w:hint="eastAsia" w:ascii="宋体" w:hAnsi="宋体" w:eastAsia="宋体" w:cs="宋体"/>
          <w:b/>
          <w:color w:val="000000" w:themeColor="text1"/>
          <w:sz w:val="36"/>
          <w:szCs w:val="36"/>
          <w14:textFill>
            <w14:solidFill>
              <w14:schemeClr w14:val="tx1"/>
            </w14:solidFill>
          </w14:textFill>
        </w:rPr>
        <w:t>评标办法</w:t>
      </w:r>
    </w:p>
    <w:p w14:paraId="0C70E957">
      <w:pPr>
        <w:adjustRightInd/>
        <w:spacing w:line="360" w:lineRule="auto"/>
        <w:ind w:firstLine="470" w:firstLineChars="196"/>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根据《中华人民共和国政府采购法</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eastAsia="宋体" w:cs="宋体"/>
          <w:color w:val="000000" w:themeColor="text1"/>
          <w:kern w:val="0"/>
          <w:sz w:val="24"/>
          <w14:textFill>
            <w14:solidFill>
              <w14:schemeClr w14:val="tx1"/>
            </w14:solidFill>
          </w14:textFill>
        </w:rPr>
        <w:t>政府采购询价采购方式管理暂行办法》等要求，遵循公开、公平、公正、科学、择优原则和诚实、信誉、效率的服务原则，制定本评审办法。</w:t>
      </w:r>
    </w:p>
    <w:p w14:paraId="54DFB6B9">
      <w:pPr>
        <w:snapToGrid w:val="0"/>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32"/>
          <w14:textFill>
            <w14:solidFill>
              <w14:schemeClr w14:val="tx1"/>
            </w14:solidFill>
          </w14:textFill>
        </w:rPr>
        <w:t>一、评标方法</w:t>
      </w:r>
    </w:p>
    <w:p w14:paraId="0B6D0D70">
      <w:pPr>
        <w:adjustRightInd/>
        <w:spacing w:line="360" w:lineRule="auto"/>
        <w:ind w:firstLine="472" w:firstLineChars="196"/>
        <w:rPr>
          <w:rFonts w:hint="eastAsia"/>
        </w:rPr>
      </w:pPr>
      <w:r>
        <w:rPr>
          <w:rFonts w:hint="eastAsia" w:ascii="宋体" w:hAnsi="宋体" w:eastAsia="宋体" w:cs="宋体"/>
          <w:b/>
          <w:color w:val="000000" w:themeColor="text1"/>
          <w:kern w:val="0"/>
          <w:sz w:val="24"/>
          <w14:textFill>
            <w14:solidFill>
              <w14:schemeClr w14:val="tx1"/>
            </w14:solidFill>
          </w14:textFill>
        </w:rPr>
        <w:t>1.本项目采用最低评标价法。</w:t>
      </w:r>
      <w:r>
        <w:rPr>
          <w:rFonts w:hint="eastAsia" w:ascii="宋体" w:hAnsi="宋体" w:eastAsia="宋体" w:cs="宋体"/>
          <w:color w:val="000000" w:themeColor="text1"/>
          <w:kern w:val="0"/>
          <w:sz w:val="24"/>
          <w14:textFill>
            <w14:solidFill>
              <w14:schemeClr w14:val="tx1"/>
            </w14:solidFill>
          </w14:textFill>
        </w:rPr>
        <w:t>最低评标价法，是指符合采购需求、质量和服务相等且报价最低的</w:t>
      </w:r>
      <w:r>
        <w:rPr>
          <w:rFonts w:hint="eastAsia" w:ascii="宋体" w:hAnsi="宋体" w:cs="宋体"/>
          <w:color w:val="auto"/>
          <w:kern w:val="0"/>
          <w:sz w:val="24"/>
          <w:highlight w:val="none"/>
          <w:lang w:val="en-US" w:eastAsia="zh-CN"/>
        </w:rPr>
        <w:t>投标单位</w:t>
      </w:r>
      <w:r>
        <w:rPr>
          <w:rFonts w:hint="eastAsia" w:ascii="宋体" w:hAnsi="宋体" w:eastAsia="宋体" w:cs="宋体"/>
          <w:color w:val="000000" w:themeColor="text1"/>
          <w:kern w:val="0"/>
          <w:sz w:val="24"/>
          <w14:textFill>
            <w14:solidFill>
              <w14:schemeClr w14:val="tx1"/>
            </w14:solidFill>
          </w14:textFill>
        </w:rPr>
        <w:t>，确定为成交候选供应商的评标方法，即满足询价文件实质性要求前提下，依据统一的价格要素评定最低报价，以提出合理最低报价的询价供应商作为成交候选供应商或者成交供应商的评标方法。根据《中华人民共和国财政部令第787号》第六十条规定：“评标委员会认为</w:t>
      </w:r>
      <w:r>
        <w:rPr>
          <w:rFonts w:hint="eastAsia" w:ascii="宋体" w:hAnsi="宋体" w:cs="宋体"/>
          <w:color w:val="auto"/>
          <w:kern w:val="0"/>
          <w:sz w:val="24"/>
          <w:highlight w:val="none"/>
          <w:lang w:val="en-US" w:eastAsia="zh-CN"/>
        </w:rPr>
        <w:t>投标单位</w:t>
      </w:r>
      <w:r>
        <w:rPr>
          <w:rFonts w:hint="eastAsia" w:ascii="宋体" w:hAnsi="宋体" w:eastAsia="宋体" w:cs="宋体"/>
          <w:color w:val="000000" w:themeColor="text1"/>
          <w:kern w:val="0"/>
          <w:sz w:val="24"/>
          <w14:textFill>
            <w14:solidFill>
              <w14:schemeClr w14:val="tx1"/>
            </w14:solidFill>
          </w14:textFill>
        </w:rPr>
        <w:t>的报价明显低于其他通过符合性审查供应商的报价，有可能影响产品质量或者不能诚信履约的，应当要求其在评标现场合理的时间内提供书面说明，必要时提交相关证明材料；</w:t>
      </w:r>
      <w:r>
        <w:rPr>
          <w:rFonts w:hint="eastAsia" w:ascii="宋体" w:hAnsi="宋体" w:cs="宋体"/>
          <w:color w:val="auto"/>
          <w:kern w:val="0"/>
          <w:sz w:val="24"/>
          <w:highlight w:val="none"/>
          <w:lang w:val="en-US" w:eastAsia="zh-CN"/>
        </w:rPr>
        <w:t>投标单位</w:t>
      </w:r>
      <w:r>
        <w:rPr>
          <w:rFonts w:hint="eastAsia" w:ascii="宋体" w:hAnsi="宋体" w:eastAsia="宋体" w:cs="宋体"/>
          <w:color w:val="000000" w:themeColor="text1"/>
          <w:kern w:val="0"/>
          <w:sz w:val="24"/>
          <w14:textFill>
            <w14:solidFill>
              <w14:schemeClr w14:val="tx1"/>
            </w14:solidFill>
          </w14:textFill>
        </w:rPr>
        <w:t>不能证明其报价合理性的，评标委员会应当将其作为无效投标处理”。</w:t>
      </w:r>
    </w:p>
    <w:p w14:paraId="5786F542">
      <w:pPr>
        <w:adjustRightInd/>
        <w:spacing w:line="360" w:lineRule="auto"/>
        <w:rPr>
          <w:rFonts w:hint="eastAsia" w:ascii="宋体" w:hAnsi="宋体" w:eastAsia="宋体" w:cs="宋体"/>
          <w:kern w:val="0"/>
          <w:sz w:val="24"/>
          <w:lang w:eastAsia="zh-CN"/>
        </w:rPr>
      </w:pPr>
      <w:r>
        <w:rPr>
          <w:rFonts w:hint="eastAsia" w:ascii="宋体" w:hAnsi="宋体" w:eastAsia="宋体" w:cs="宋体"/>
          <w:b/>
          <w:sz w:val="32"/>
        </w:rPr>
        <w:t>二、</w:t>
      </w:r>
      <w:r>
        <w:rPr>
          <w:rFonts w:hint="eastAsia" w:ascii="宋体" w:hAnsi="宋体" w:eastAsia="宋体" w:cs="宋体"/>
          <w:b/>
          <w:sz w:val="32"/>
          <w:lang w:eastAsia="zh-CN"/>
        </w:rPr>
        <w:t>总则</w:t>
      </w:r>
    </w:p>
    <w:p w14:paraId="57D7073B">
      <w:pPr>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 xml:space="preserve">2.1 </w:t>
      </w:r>
      <w:r>
        <w:rPr>
          <w:rFonts w:hint="eastAsia" w:ascii="宋体" w:hAnsi="宋体" w:eastAsia="宋体" w:cs="宋体"/>
          <w:kern w:val="0"/>
          <w:sz w:val="24"/>
          <w:lang w:eastAsia="zh-CN"/>
        </w:rPr>
        <w:t>询价</w:t>
      </w:r>
      <w:r>
        <w:rPr>
          <w:rFonts w:hint="eastAsia" w:ascii="宋体" w:hAnsi="宋体" w:eastAsia="宋体" w:cs="宋体"/>
          <w:kern w:val="0"/>
          <w:sz w:val="24"/>
        </w:rPr>
        <w:t>小组成员应当按照客观、公正、审慎的原则，根据</w:t>
      </w:r>
      <w:r>
        <w:rPr>
          <w:rFonts w:hint="eastAsia" w:ascii="宋体" w:hAnsi="宋体" w:eastAsia="宋体" w:cs="宋体"/>
          <w:kern w:val="0"/>
          <w:sz w:val="24"/>
          <w:lang w:eastAsia="zh-CN"/>
        </w:rPr>
        <w:t>询价文件</w:t>
      </w:r>
      <w:r>
        <w:rPr>
          <w:rFonts w:hint="eastAsia" w:ascii="宋体" w:hAnsi="宋体" w:eastAsia="宋体" w:cs="宋体"/>
          <w:kern w:val="0"/>
          <w:sz w:val="24"/>
        </w:rPr>
        <w:t>规定的评审程序、评审方法和评审标准进行独立评审。</w:t>
      </w:r>
    </w:p>
    <w:p w14:paraId="7E90E1F5">
      <w:pPr>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 xml:space="preserve">2.2 </w:t>
      </w:r>
      <w:r>
        <w:rPr>
          <w:rFonts w:hint="eastAsia" w:ascii="宋体" w:hAnsi="宋体" w:eastAsia="宋体" w:cs="宋体"/>
          <w:kern w:val="0"/>
          <w:sz w:val="24"/>
        </w:rPr>
        <w:t>对落标人，</w:t>
      </w:r>
      <w:r>
        <w:rPr>
          <w:rFonts w:hint="eastAsia" w:ascii="宋体" w:hAnsi="宋体" w:eastAsia="宋体" w:cs="宋体"/>
          <w:kern w:val="0"/>
          <w:sz w:val="24"/>
          <w:lang w:eastAsia="zh-CN"/>
        </w:rPr>
        <w:t>询价</w:t>
      </w:r>
      <w:r>
        <w:rPr>
          <w:rFonts w:hint="eastAsia" w:ascii="宋体" w:hAnsi="宋体" w:eastAsia="宋体" w:cs="宋体"/>
          <w:kern w:val="0"/>
          <w:sz w:val="24"/>
        </w:rPr>
        <w:t>小组不作任何落标解释。</w:t>
      </w:r>
    </w:p>
    <w:p w14:paraId="151B4AFA">
      <w:pPr>
        <w:adjustRightInd/>
        <w:spacing w:line="360" w:lineRule="auto"/>
        <w:rPr>
          <w:rFonts w:hint="eastAsia" w:ascii="宋体" w:hAnsi="宋体" w:eastAsia="宋体" w:cs="宋体"/>
          <w:b/>
          <w:sz w:val="32"/>
          <w:lang w:val="en-US" w:eastAsia="zh-CN"/>
        </w:rPr>
      </w:pPr>
      <w:r>
        <w:rPr>
          <w:rFonts w:hint="eastAsia" w:ascii="宋体" w:hAnsi="宋体" w:eastAsia="宋体" w:cs="宋体"/>
          <w:b/>
          <w:sz w:val="32"/>
          <w:lang w:val="en-US" w:eastAsia="zh-CN"/>
        </w:rPr>
        <w:t>三、</w:t>
      </w:r>
      <w:bookmarkStart w:id="389" w:name="_Toc22566"/>
      <w:bookmarkStart w:id="390" w:name="_Toc1032"/>
      <w:bookmarkStart w:id="391" w:name="_Toc281"/>
      <w:r>
        <w:rPr>
          <w:rFonts w:hint="eastAsia" w:ascii="宋体" w:hAnsi="宋体" w:eastAsia="宋体" w:cs="宋体"/>
          <w:b/>
          <w:sz w:val="32"/>
          <w:lang w:val="en-US" w:eastAsia="zh-CN"/>
        </w:rPr>
        <w:t>评审组织</w:t>
      </w:r>
      <w:bookmarkEnd w:id="389"/>
      <w:bookmarkEnd w:id="390"/>
      <w:bookmarkEnd w:id="391"/>
    </w:p>
    <w:p w14:paraId="0BBE52C7">
      <w:pPr>
        <w:adjustRightInd/>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评审工作由采购单位依法组建的</w:t>
      </w:r>
      <w:r>
        <w:rPr>
          <w:rFonts w:hint="eastAsia" w:ascii="宋体" w:hAnsi="宋体" w:eastAsia="宋体" w:cs="宋体"/>
          <w:kern w:val="0"/>
          <w:sz w:val="24"/>
          <w:lang w:eastAsia="zh-CN"/>
        </w:rPr>
        <w:t>询价</w:t>
      </w:r>
      <w:r>
        <w:rPr>
          <w:rFonts w:hint="eastAsia" w:ascii="宋体" w:hAnsi="宋体" w:eastAsia="宋体" w:cs="宋体"/>
          <w:kern w:val="0"/>
          <w:sz w:val="24"/>
        </w:rPr>
        <w:t>小组负责。</w:t>
      </w:r>
      <w:r>
        <w:rPr>
          <w:rFonts w:hint="eastAsia" w:ascii="宋体" w:hAnsi="宋体" w:eastAsia="宋体" w:cs="宋体"/>
          <w:kern w:val="0"/>
          <w:sz w:val="24"/>
          <w:lang w:eastAsia="zh-CN"/>
        </w:rPr>
        <w:t>询价</w:t>
      </w:r>
      <w:r>
        <w:rPr>
          <w:rFonts w:hint="eastAsia" w:ascii="宋体" w:hAnsi="宋体" w:eastAsia="宋体" w:cs="宋体"/>
          <w:kern w:val="0"/>
          <w:sz w:val="24"/>
        </w:rPr>
        <w:t>小组由</w:t>
      </w:r>
      <w:r>
        <w:rPr>
          <w:rFonts w:hint="eastAsia" w:ascii="宋体" w:hAnsi="宋体" w:cs="宋体"/>
          <w:kern w:val="0"/>
          <w:sz w:val="24"/>
          <w:lang w:eastAsia="zh-CN"/>
        </w:rPr>
        <w:t>采购单位</w:t>
      </w:r>
      <w:r>
        <w:rPr>
          <w:rFonts w:hint="eastAsia" w:ascii="宋体" w:hAnsi="宋体" w:eastAsia="宋体" w:cs="宋体"/>
          <w:kern w:val="0"/>
          <w:sz w:val="24"/>
        </w:rPr>
        <w:t>代表和评审专家3人以上单数组成。</w:t>
      </w:r>
      <w:r>
        <w:rPr>
          <w:rFonts w:hint="eastAsia" w:ascii="宋体" w:hAnsi="宋体" w:eastAsia="宋体" w:cs="宋体"/>
          <w:kern w:val="0"/>
          <w:sz w:val="24"/>
          <w:lang w:eastAsia="zh-CN"/>
        </w:rPr>
        <w:t>询价</w:t>
      </w:r>
      <w:r>
        <w:rPr>
          <w:rFonts w:hint="eastAsia" w:ascii="宋体" w:hAnsi="宋体" w:eastAsia="宋体" w:cs="宋体"/>
          <w:kern w:val="0"/>
          <w:sz w:val="24"/>
        </w:rPr>
        <w:t>小组负责审标、询标、评审等工作，并向</w:t>
      </w:r>
      <w:r>
        <w:rPr>
          <w:rFonts w:hint="eastAsia" w:ascii="宋体" w:hAnsi="宋体" w:cs="宋体"/>
          <w:kern w:val="0"/>
          <w:sz w:val="24"/>
          <w:lang w:eastAsia="zh-CN"/>
        </w:rPr>
        <w:t>采购单位</w:t>
      </w:r>
      <w:r>
        <w:rPr>
          <w:rFonts w:hint="eastAsia" w:ascii="宋体" w:hAnsi="宋体" w:eastAsia="宋体" w:cs="宋体"/>
          <w:kern w:val="0"/>
          <w:sz w:val="24"/>
        </w:rPr>
        <w:t>提出评审意见和评审报告。</w:t>
      </w:r>
    </w:p>
    <w:p w14:paraId="1E90DBE2">
      <w:pPr>
        <w:adjustRightInd/>
        <w:spacing w:line="360" w:lineRule="auto"/>
        <w:rPr>
          <w:rFonts w:hint="eastAsia" w:ascii="宋体" w:hAnsi="宋体" w:eastAsia="宋体" w:cs="宋体"/>
          <w:b/>
          <w:sz w:val="32"/>
          <w:lang w:val="en-US" w:eastAsia="zh-CN"/>
        </w:rPr>
      </w:pPr>
      <w:r>
        <w:rPr>
          <w:rFonts w:hint="eastAsia" w:ascii="宋体" w:hAnsi="宋体" w:eastAsia="宋体" w:cs="宋体"/>
          <w:b/>
          <w:sz w:val="32"/>
          <w:lang w:val="en-US" w:eastAsia="zh-CN"/>
        </w:rPr>
        <w:t>四、</w:t>
      </w:r>
      <w:bookmarkStart w:id="392" w:name="_Toc12648"/>
      <w:bookmarkStart w:id="393" w:name="_Toc8458"/>
      <w:r>
        <w:rPr>
          <w:rFonts w:hint="eastAsia" w:ascii="宋体" w:hAnsi="宋体" w:eastAsia="宋体" w:cs="宋体"/>
          <w:b/>
          <w:sz w:val="32"/>
          <w:lang w:val="en-US" w:eastAsia="zh-CN"/>
        </w:rPr>
        <w:t>询价要求</w:t>
      </w:r>
      <w:bookmarkEnd w:id="392"/>
      <w:bookmarkEnd w:id="393"/>
    </w:p>
    <w:p w14:paraId="443C14B7">
      <w:pPr>
        <w:adjustRightInd/>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4.1 询价小组将询价有关规定与</w:t>
      </w:r>
      <w:r>
        <w:rPr>
          <w:rFonts w:hint="eastAsia" w:ascii="宋体" w:hAnsi="宋体" w:cs="宋体"/>
          <w:color w:val="auto"/>
          <w:kern w:val="0"/>
          <w:sz w:val="24"/>
          <w:highlight w:val="none"/>
          <w:lang w:val="en-US" w:eastAsia="zh-CN"/>
        </w:rPr>
        <w:t>投标单位</w:t>
      </w:r>
      <w:r>
        <w:rPr>
          <w:rFonts w:hint="eastAsia" w:ascii="宋体" w:hAnsi="宋体" w:eastAsia="宋体" w:cs="宋体"/>
          <w:kern w:val="0"/>
          <w:sz w:val="24"/>
          <w:lang w:val="en-US" w:eastAsia="zh-CN"/>
        </w:rPr>
        <w:t>进行封闭式询价，询价的内容包括（但不限于）</w:t>
      </w:r>
      <w:r>
        <w:rPr>
          <w:rFonts w:hint="eastAsia" w:ascii="宋体" w:hAnsi="宋体" w:cs="宋体"/>
          <w:kern w:val="0"/>
          <w:sz w:val="24"/>
          <w:lang w:val="en-US" w:eastAsia="zh-CN"/>
        </w:rPr>
        <w:t>投标单位</w:t>
      </w:r>
      <w:r>
        <w:rPr>
          <w:rFonts w:hint="eastAsia" w:ascii="宋体" w:hAnsi="宋体" w:eastAsia="宋体" w:cs="宋体"/>
          <w:kern w:val="0"/>
          <w:sz w:val="24"/>
          <w:lang w:val="en-US" w:eastAsia="zh-CN"/>
        </w:rPr>
        <w:t>的报价、合同条款响应情况、技术方案的可行性、承诺的后期服务等。</w:t>
      </w:r>
      <w:r>
        <w:rPr>
          <w:rFonts w:hint="eastAsia" w:ascii="宋体" w:hAnsi="宋体" w:cs="宋体"/>
          <w:kern w:val="0"/>
          <w:sz w:val="24"/>
          <w:lang w:val="en-US" w:eastAsia="zh-CN"/>
        </w:rPr>
        <w:t>投标单位</w:t>
      </w:r>
      <w:r>
        <w:rPr>
          <w:rFonts w:hint="eastAsia" w:ascii="宋体" w:hAnsi="宋体" w:eastAsia="宋体" w:cs="宋体"/>
          <w:kern w:val="0"/>
          <w:sz w:val="24"/>
          <w:lang w:val="en-US" w:eastAsia="zh-CN"/>
        </w:rPr>
        <w:t>有义务对询价小组就响应文件中不明确的条款进行澄清，</w:t>
      </w:r>
      <w:r>
        <w:rPr>
          <w:rFonts w:hint="eastAsia" w:ascii="宋体" w:hAnsi="宋体" w:cs="宋体"/>
          <w:kern w:val="0"/>
          <w:sz w:val="24"/>
          <w:lang w:val="en-US" w:eastAsia="zh-CN"/>
        </w:rPr>
        <w:t>投标单位</w:t>
      </w:r>
      <w:r>
        <w:rPr>
          <w:rFonts w:hint="eastAsia" w:ascii="宋体" w:hAnsi="宋体" w:eastAsia="宋体" w:cs="宋体"/>
          <w:kern w:val="0"/>
          <w:sz w:val="24"/>
          <w:lang w:val="en-US" w:eastAsia="zh-CN"/>
        </w:rPr>
        <w:t>在询价时可以对其响应文件进行补充或调整，在询价结束前，</w:t>
      </w:r>
      <w:r>
        <w:rPr>
          <w:rFonts w:hint="eastAsia" w:ascii="宋体" w:hAnsi="宋体" w:cs="宋体"/>
          <w:kern w:val="0"/>
          <w:sz w:val="24"/>
          <w:lang w:val="en-US" w:eastAsia="zh-CN"/>
        </w:rPr>
        <w:t>投标单位</w:t>
      </w:r>
      <w:r>
        <w:rPr>
          <w:rFonts w:hint="eastAsia" w:ascii="宋体" w:hAnsi="宋体" w:eastAsia="宋体" w:cs="宋体"/>
          <w:kern w:val="0"/>
          <w:sz w:val="24"/>
          <w:lang w:val="en-US" w:eastAsia="zh-CN"/>
        </w:rPr>
        <w:t>应对其澄清、补充、调整的相关内容以书面方式进行最终确认，形成最终承诺书。在询价过程中，</w:t>
      </w:r>
      <w:r>
        <w:rPr>
          <w:rFonts w:hint="eastAsia" w:ascii="宋体" w:hAnsi="宋体" w:cs="宋体"/>
          <w:kern w:val="0"/>
          <w:sz w:val="24"/>
          <w:lang w:val="en-US" w:eastAsia="zh-CN"/>
        </w:rPr>
        <w:t>采购单位</w:t>
      </w:r>
      <w:r>
        <w:rPr>
          <w:rFonts w:hint="eastAsia" w:ascii="宋体" w:hAnsi="宋体" w:eastAsia="宋体" w:cs="宋体"/>
          <w:kern w:val="0"/>
          <w:sz w:val="24"/>
          <w:lang w:val="en-US" w:eastAsia="zh-CN"/>
        </w:rPr>
        <w:t>及询价小组有权变更相关要求，不对因此而受影响的</w:t>
      </w:r>
      <w:r>
        <w:rPr>
          <w:rFonts w:hint="eastAsia" w:ascii="宋体" w:hAnsi="宋体" w:cs="宋体"/>
          <w:kern w:val="0"/>
          <w:sz w:val="24"/>
          <w:lang w:val="en-US" w:eastAsia="zh-CN"/>
        </w:rPr>
        <w:t>投标单位</w:t>
      </w:r>
      <w:r>
        <w:rPr>
          <w:rFonts w:hint="eastAsia" w:ascii="宋体" w:hAnsi="宋体" w:eastAsia="宋体" w:cs="宋体"/>
          <w:kern w:val="0"/>
          <w:sz w:val="24"/>
          <w:lang w:val="en-US" w:eastAsia="zh-CN"/>
        </w:rPr>
        <w:t>承担责任。询价中如有实质性变动，询价小组将通</w:t>
      </w:r>
      <w:r>
        <w:rPr>
          <w:rFonts w:hint="eastAsia" w:ascii="宋体" w:hAnsi="宋体" w:cs="宋体"/>
          <w:kern w:val="0"/>
          <w:sz w:val="24"/>
          <w:lang w:val="en-US" w:eastAsia="zh-CN"/>
        </w:rPr>
        <w:t>过</w:t>
      </w:r>
      <w:r>
        <w:rPr>
          <w:rFonts w:hint="eastAsia" w:ascii="宋体" w:hAnsi="宋体" w:eastAsia="宋体" w:cs="宋体"/>
          <w:kern w:val="0"/>
          <w:sz w:val="24"/>
          <w:lang w:val="en-US" w:eastAsia="zh-CN"/>
        </w:rPr>
        <w:t>手机电话形式通知参加询价的</w:t>
      </w:r>
      <w:r>
        <w:rPr>
          <w:rFonts w:hint="eastAsia" w:ascii="宋体" w:hAnsi="宋体" w:cs="宋体"/>
          <w:kern w:val="0"/>
          <w:sz w:val="24"/>
          <w:lang w:val="en-US" w:eastAsia="zh-CN"/>
        </w:rPr>
        <w:t>投标单位</w:t>
      </w:r>
      <w:r>
        <w:rPr>
          <w:rFonts w:hint="eastAsia" w:ascii="宋体" w:hAnsi="宋体" w:eastAsia="宋体" w:cs="宋体"/>
          <w:kern w:val="0"/>
          <w:sz w:val="24"/>
          <w:lang w:val="en-US" w:eastAsia="zh-CN"/>
        </w:rPr>
        <w:t>。</w:t>
      </w:r>
    </w:p>
    <w:p w14:paraId="4C453CCA">
      <w:pPr>
        <w:adjustRightInd/>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4.2 询价小组将要求所有参加询价的</w:t>
      </w:r>
      <w:r>
        <w:rPr>
          <w:rFonts w:hint="eastAsia" w:ascii="宋体" w:hAnsi="宋体" w:cs="宋体"/>
          <w:kern w:val="0"/>
          <w:sz w:val="24"/>
          <w:lang w:val="en-US" w:eastAsia="zh-CN"/>
        </w:rPr>
        <w:t>投标单位</w:t>
      </w:r>
      <w:r>
        <w:rPr>
          <w:rFonts w:hint="eastAsia" w:ascii="宋体" w:hAnsi="宋体" w:eastAsia="宋体" w:cs="宋体"/>
          <w:kern w:val="0"/>
          <w:sz w:val="24"/>
          <w:lang w:val="en-US" w:eastAsia="zh-CN"/>
        </w:rPr>
        <w:t>按询价小组提出的要求并在规定时间内分别进行最终报价，各</w:t>
      </w:r>
      <w:r>
        <w:rPr>
          <w:rFonts w:hint="eastAsia" w:ascii="宋体" w:hAnsi="宋体" w:cs="宋体"/>
          <w:kern w:val="0"/>
          <w:sz w:val="24"/>
          <w:lang w:val="en-US" w:eastAsia="zh-CN"/>
        </w:rPr>
        <w:t>投标单位</w:t>
      </w:r>
      <w:r>
        <w:rPr>
          <w:rFonts w:hint="eastAsia" w:ascii="宋体" w:hAnsi="宋体" w:eastAsia="宋体" w:cs="宋体"/>
          <w:kern w:val="0"/>
          <w:sz w:val="24"/>
          <w:lang w:val="en-US" w:eastAsia="zh-CN"/>
        </w:rPr>
        <w:t>在规定时间之后的报价将被视为无效。</w:t>
      </w:r>
    </w:p>
    <w:p w14:paraId="1EBE855F">
      <w:pPr>
        <w:adjustRightInd/>
        <w:spacing w:line="360" w:lineRule="auto"/>
        <w:rPr>
          <w:rFonts w:hint="eastAsia" w:ascii="宋体" w:hAnsi="宋体" w:eastAsia="宋体" w:cs="宋体"/>
          <w:b/>
          <w:sz w:val="32"/>
          <w:lang w:val="en-US" w:eastAsia="zh-CN"/>
        </w:rPr>
      </w:pPr>
      <w:r>
        <w:rPr>
          <w:rFonts w:hint="eastAsia" w:ascii="宋体" w:hAnsi="宋体" w:eastAsia="宋体" w:cs="宋体"/>
          <w:b/>
          <w:sz w:val="32"/>
          <w:lang w:val="en-US" w:eastAsia="zh-CN"/>
        </w:rPr>
        <w:t>五、评标程序</w:t>
      </w:r>
    </w:p>
    <w:p w14:paraId="697F0EEE">
      <w:pPr>
        <w:pStyle w:val="85"/>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kern w:val="0"/>
          <w:sz w:val="24"/>
          <w:szCs w:val="24"/>
          <w:lang w:val="en-US" w:eastAsia="zh-CN" w:bidi="ar-SA"/>
        </w:rPr>
      </w:pPr>
      <w:r>
        <w:rPr>
          <w:rFonts w:hint="eastAsia" w:ascii="宋体" w:hAnsi="宋体" w:eastAsia="宋体" w:cs="宋体"/>
          <w:b/>
          <w:kern w:val="0"/>
          <w:sz w:val="24"/>
          <w:szCs w:val="24"/>
          <w:lang w:val="en-US" w:eastAsia="zh-CN" w:bidi="ar-SA"/>
        </w:rPr>
        <w:t>5.1资格审查：</w:t>
      </w:r>
      <w:r>
        <w:rPr>
          <w:rFonts w:hint="eastAsia" w:ascii="宋体" w:hAnsi="宋体" w:eastAsia="宋体" w:cs="宋体"/>
          <w:kern w:val="0"/>
          <w:sz w:val="24"/>
          <w:szCs w:val="24"/>
          <w:lang w:val="en-US" w:eastAsia="zh-CN" w:bidi="ar-SA"/>
        </w:rPr>
        <w:t>由</w:t>
      </w:r>
      <w:r>
        <w:rPr>
          <w:rFonts w:hint="eastAsia" w:ascii="宋体" w:hAnsi="宋体" w:cs="宋体"/>
          <w:kern w:val="0"/>
          <w:sz w:val="24"/>
          <w:szCs w:val="24"/>
          <w:lang w:val="en-US" w:eastAsia="zh-CN" w:bidi="ar-SA"/>
        </w:rPr>
        <w:t>采购单位</w:t>
      </w:r>
      <w:r>
        <w:rPr>
          <w:rFonts w:hint="eastAsia" w:ascii="宋体" w:hAnsi="宋体" w:eastAsia="宋体" w:cs="宋体"/>
          <w:kern w:val="0"/>
          <w:sz w:val="24"/>
          <w:szCs w:val="24"/>
          <w:lang w:val="en-US" w:eastAsia="zh-CN" w:bidi="ar-SA"/>
        </w:rPr>
        <w:t>或采购代理机构代表根据询价文件的规定对</w:t>
      </w:r>
      <w:r>
        <w:rPr>
          <w:rFonts w:hint="eastAsia" w:ascii="宋体" w:hAnsi="宋体" w:cs="宋体"/>
          <w:kern w:val="0"/>
          <w:sz w:val="24"/>
          <w:szCs w:val="24"/>
          <w:lang w:val="en-US" w:eastAsia="zh-CN" w:bidi="ar-SA"/>
        </w:rPr>
        <w:t>投标单位</w:t>
      </w:r>
      <w:r>
        <w:rPr>
          <w:rFonts w:hint="eastAsia" w:ascii="宋体" w:hAnsi="宋体" w:eastAsia="宋体" w:cs="宋体"/>
          <w:kern w:val="0"/>
          <w:sz w:val="24"/>
          <w:szCs w:val="24"/>
          <w:lang w:val="en-US" w:eastAsia="zh-CN" w:bidi="ar-SA"/>
        </w:rPr>
        <w:t>进行资格审查，资格审查不合格的</w:t>
      </w:r>
      <w:r>
        <w:rPr>
          <w:rFonts w:hint="eastAsia" w:ascii="宋体" w:hAnsi="宋体" w:cs="宋体"/>
          <w:kern w:val="0"/>
          <w:sz w:val="24"/>
          <w:szCs w:val="24"/>
          <w:lang w:val="en-US" w:eastAsia="zh-CN" w:bidi="ar-SA"/>
        </w:rPr>
        <w:t>投标单位</w:t>
      </w:r>
      <w:r>
        <w:rPr>
          <w:rFonts w:hint="eastAsia" w:ascii="宋体" w:hAnsi="宋体" w:eastAsia="宋体" w:cs="宋体"/>
          <w:kern w:val="0"/>
          <w:sz w:val="24"/>
          <w:szCs w:val="24"/>
          <w:lang w:val="en-US" w:eastAsia="zh-CN" w:bidi="ar-SA"/>
        </w:rPr>
        <w:t>，其投标作无效标处理。</w:t>
      </w:r>
    </w:p>
    <w:p w14:paraId="46E6049D">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宋体" w:hAnsi="宋体" w:eastAsia="宋体" w:cs="宋体"/>
          <w:kern w:val="0"/>
          <w:sz w:val="24"/>
          <w:highlight w:val="none"/>
          <w:lang w:val="en-US" w:eastAsia="zh-CN"/>
        </w:rPr>
      </w:pPr>
      <w:r>
        <w:rPr>
          <w:rFonts w:hint="eastAsia" w:ascii="宋体" w:hAnsi="宋体" w:eastAsia="宋体" w:cs="宋体"/>
          <w:b/>
          <w:kern w:val="0"/>
          <w:sz w:val="24"/>
          <w:lang w:val="en-US" w:eastAsia="zh-CN"/>
        </w:rPr>
        <w:t>5</w:t>
      </w:r>
      <w:r>
        <w:rPr>
          <w:rFonts w:hint="eastAsia" w:ascii="宋体" w:hAnsi="宋体" w:eastAsia="宋体" w:cs="宋体"/>
          <w:b/>
          <w:kern w:val="0"/>
          <w:sz w:val="24"/>
        </w:rPr>
        <w:t>.</w:t>
      </w:r>
      <w:r>
        <w:rPr>
          <w:rFonts w:hint="eastAsia" w:ascii="宋体" w:hAnsi="宋体" w:eastAsia="宋体" w:cs="宋体"/>
          <w:b/>
          <w:kern w:val="0"/>
          <w:sz w:val="24"/>
          <w:lang w:val="en-US" w:eastAsia="zh-CN"/>
        </w:rPr>
        <w:t>2</w:t>
      </w:r>
      <w:r>
        <w:rPr>
          <w:rFonts w:hint="eastAsia" w:ascii="宋体" w:hAnsi="宋体" w:eastAsia="宋体" w:cs="宋体"/>
          <w:b/>
          <w:kern w:val="0"/>
          <w:sz w:val="24"/>
        </w:rPr>
        <w:t>符合性审查。</w:t>
      </w:r>
      <w:r>
        <w:rPr>
          <w:rFonts w:hint="eastAsia" w:ascii="宋体" w:hAnsi="宋体" w:eastAsia="宋体" w:cs="宋体"/>
          <w:kern w:val="0"/>
          <w:sz w:val="24"/>
          <w:lang w:val="en-US" w:eastAsia="zh-CN"/>
        </w:rPr>
        <w:t>依据询价文件的规定，从询价响应文件的有效性、完整性和对</w:t>
      </w:r>
      <w:r>
        <w:rPr>
          <w:rFonts w:hint="eastAsia" w:ascii="宋体" w:hAnsi="宋体" w:eastAsia="宋体" w:cs="宋体"/>
          <w:kern w:val="0"/>
          <w:sz w:val="24"/>
          <w:highlight w:val="none"/>
          <w:lang w:val="en-US" w:eastAsia="zh-CN"/>
        </w:rPr>
        <w:t>询价文件的响应程度进行初步审查，以确定是否对询价文件的实质性要求作出响应。</w:t>
      </w:r>
    </w:p>
    <w:p w14:paraId="40D1FF1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highlight w:val="none"/>
          <w:lang w:val="en-US" w:eastAsia="zh-CN"/>
        </w:rPr>
      </w:pPr>
      <w:r>
        <w:rPr>
          <w:rFonts w:hint="eastAsia" w:ascii="宋体" w:hAnsi="宋体" w:eastAsia="宋体" w:cs="宋体"/>
          <w:b/>
          <w:kern w:val="0"/>
          <w:sz w:val="24"/>
          <w:highlight w:val="none"/>
          <w:lang w:val="en-US" w:eastAsia="zh-CN"/>
        </w:rPr>
        <w:t>5</w:t>
      </w:r>
      <w:r>
        <w:rPr>
          <w:rFonts w:hint="eastAsia" w:ascii="宋体" w:hAnsi="宋体" w:eastAsia="宋体" w:cs="宋体"/>
          <w:b/>
          <w:kern w:val="0"/>
          <w:sz w:val="24"/>
          <w:highlight w:val="none"/>
        </w:rPr>
        <w:t>.</w:t>
      </w:r>
      <w:r>
        <w:rPr>
          <w:rFonts w:hint="eastAsia" w:ascii="宋体" w:hAnsi="宋体" w:eastAsia="宋体" w:cs="宋体"/>
          <w:b/>
          <w:kern w:val="0"/>
          <w:sz w:val="24"/>
          <w:highlight w:val="none"/>
          <w:lang w:val="en-US" w:eastAsia="zh-CN"/>
        </w:rPr>
        <w:t>3</w:t>
      </w:r>
      <w:r>
        <w:rPr>
          <w:rFonts w:hint="eastAsia" w:ascii="宋体" w:hAnsi="宋体" w:eastAsia="宋体" w:cs="宋体"/>
          <w:b/>
          <w:kern w:val="0"/>
          <w:sz w:val="24"/>
          <w:highlight w:val="none"/>
        </w:rPr>
        <w:t xml:space="preserve"> 比较与评价。</w:t>
      </w:r>
      <w:r>
        <w:rPr>
          <w:rFonts w:hint="eastAsia" w:ascii="宋体" w:hAnsi="宋体" w:eastAsia="宋体" w:cs="宋体"/>
          <w:kern w:val="0"/>
          <w:sz w:val="24"/>
          <w:szCs w:val="24"/>
          <w:highlight w:val="none"/>
          <w:lang w:val="en-US" w:eastAsia="zh-CN" w:bidi="ar-SA"/>
        </w:rPr>
        <w:t>询价小组在询价期间，就有关问题向</w:t>
      </w:r>
      <w:r>
        <w:rPr>
          <w:rFonts w:hint="eastAsia" w:ascii="宋体" w:hAnsi="宋体" w:cs="宋体"/>
          <w:color w:val="auto"/>
          <w:kern w:val="0"/>
          <w:sz w:val="24"/>
          <w:highlight w:val="none"/>
          <w:lang w:val="en-US" w:eastAsia="zh-CN"/>
        </w:rPr>
        <w:t>投标单位</w:t>
      </w:r>
      <w:r>
        <w:rPr>
          <w:rFonts w:hint="eastAsia" w:ascii="宋体" w:hAnsi="宋体" w:eastAsia="宋体" w:cs="宋体"/>
          <w:kern w:val="0"/>
          <w:sz w:val="24"/>
          <w:szCs w:val="24"/>
          <w:highlight w:val="none"/>
          <w:lang w:val="en-US" w:eastAsia="zh-CN" w:bidi="ar-SA"/>
        </w:rPr>
        <w:t>进行询价，须对询价中所涉及的澄清、修改、承诺等补充资料在规定的时间内提交至询价小组，作为询价响应文件的补充。如该</w:t>
      </w:r>
      <w:r>
        <w:rPr>
          <w:rFonts w:hint="eastAsia" w:ascii="宋体" w:hAnsi="宋体" w:cs="宋体"/>
          <w:color w:val="auto"/>
          <w:kern w:val="0"/>
          <w:sz w:val="24"/>
          <w:highlight w:val="none"/>
          <w:lang w:val="en-US" w:eastAsia="zh-CN"/>
        </w:rPr>
        <w:t>投标单位</w:t>
      </w:r>
      <w:r>
        <w:rPr>
          <w:rFonts w:hint="eastAsia" w:ascii="宋体" w:hAnsi="宋体" w:eastAsia="宋体" w:cs="宋体"/>
          <w:kern w:val="0"/>
          <w:sz w:val="24"/>
          <w:szCs w:val="24"/>
          <w:highlight w:val="none"/>
          <w:lang w:val="en-US" w:eastAsia="zh-CN" w:bidi="ar-SA"/>
        </w:rPr>
        <w:t>成为</w:t>
      </w:r>
      <w:r>
        <w:rPr>
          <w:rFonts w:hint="eastAsia" w:ascii="宋体" w:hAnsi="宋体" w:cs="宋体"/>
          <w:kern w:val="0"/>
          <w:sz w:val="24"/>
          <w:szCs w:val="24"/>
          <w:highlight w:val="none"/>
          <w:lang w:val="en-US" w:eastAsia="zh-CN" w:bidi="ar-SA"/>
        </w:rPr>
        <w:t>中标单位</w:t>
      </w:r>
      <w:r>
        <w:rPr>
          <w:rFonts w:hint="eastAsia" w:ascii="宋体" w:hAnsi="宋体" w:eastAsia="宋体" w:cs="宋体"/>
          <w:kern w:val="0"/>
          <w:sz w:val="24"/>
          <w:szCs w:val="24"/>
          <w:highlight w:val="none"/>
          <w:lang w:val="en-US" w:eastAsia="zh-CN" w:bidi="ar-SA"/>
        </w:rPr>
        <w:t>，则该</w:t>
      </w:r>
      <w:r>
        <w:rPr>
          <w:rFonts w:hint="eastAsia" w:ascii="宋体" w:hAnsi="宋体" w:cs="宋体"/>
          <w:color w:val="auto"/>
          <w:kern w:val="0"/>
          <w:sz w:val="24"/>
          <w:highlight w:val="none"/>
          <w:lang w:val="en-US" w:eastAsia="zh-CN"/>
        </w:rPr>
        <w:t>投标单位</w:t>
      </w:r>
      <w:r>
        <w:rPr>
          <w:rFonts w:hint="eastAsia" w:ascii="宋体" w:hAnsi="宋体" w:eastAsia="宋体" w:cs="宋体"/>
          <w:kern w:val="0"/>
          <w:sz w:val="24"/>
          <w:szCs w:val="24"/>
          <w:highlight w:val="none"/>
          <w:lang w:val="en-US" w:eastAsia="zh-CN" w:bidi="ar-SA"/>
        </w:rPr>
        <w:t>的询价响应文件（含所有补充资料）将作为合同的组成部分。</w:t>
      </w:r>
    </w:p>
    <w:p w14:paraId="4559E78B">
      <w:pPr>
        <w:pStyle w:val="85"/>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baseline"/>
        <w:rPr>
          <w:rFonts w:hint="eastAsia" w:ascii="宋体" w:hAnsi="宋体" w:eastAsia="宋体" w:cs="宋体"/>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5.4 确定入围</w:t>
      </w:r>
      <w:r>
        <w:rPr>
          <w:rFonts w:hint="eastAsia" w:ascii="宋体" w:hAnsi="宋体" w:cs="宋体"/>
          <w:b/>
          <w:bCs/>
          <w:kern w:val="0"/>
          <w:sz w:val="24"/>
          <w:szCs w:val="24"/>
          <w:highlight w:val="none"/>
          <w:lang w:val="en-US" w:eastAsia="zh-CN" w:bidi="ar-SA"/>
        </w:rPr>
        <w:t>单位</w:t>
      </w:r>
      <w:r>
        <w:rPr>
          <w:rFonts w:hint="eastAsia" w:ascii="宋体" w:hAnsi="宋体" w:eastAsia="宋体" w:cs="宋体"/>
          <w:b/>
          <w:bCs/>
          <w:kern w:val="0"/>
          <w:sz w:val="24"/>
          <w:szCs w:val="24"/>
          <w:highlight w:val="none"/>
          <w:lang w:val="en-US" w:eastAsia="zh-CN" w:bidi="ar-SA"/>
        </w:rPr>
        <w:t>。</w:t>
      </w:r>
      <w:r>
        <w:rPr>
          <w:rFonts w:hint="eastAsia" w:ascii="宋体" w:hAnsi="宋体" w:eastAsia="宋体" w:cs="宋体"/>
          <w:kern w:val="0"/>
          <w:sz w:val="24"/>
          <w:szCs w:val="24"/>
          <w:highlight w:val="none"/>
          <w:lang w:val="en-US" w:eastAsia="zh-CN" w:bidi="ar-SA"/>
        </w:rPr>
        <w:t>根据以上综合评审，由询价小组确定入围</w:t>
      </w:r>
      <w:r>
        <w:rPr>
          <w:rFonts w:hint="eastAsia" w:ascii="宋体" w:hAnsi="宋体" w:cs="宋体"/>
          <w:kern w:val="0"/>
          <w:sz w:val="24"/>
          <w:szCs w:val="24"/>
          <w:highlight w:val="none"/>
          <w:lang w:val="en-US" w:eastAsia="zh-CN" w:bidi="ar-SA"/>
        </w:rPr>
        <w:t>单位</w:t>
      </w:r>
      <w:r>
        <w:rPr>
          <w:rFonts w:hint="eastAsia" w:ascii="宋体" w:hAnsi="宋体" w:eastAsia="宋体" w:cs="宋体"/>
          <w:kern w:val="0"/>
          <w:sz w:val="24"/>
          <w:szCs w:val="24"/>
          <w:highlight w:val="none"/>
          <w:lang w:val="en-US" w:eastAsia="zh-CN" w:bidi="ar-SA"/>
        </w:rPr>
        <w:t>。</w:t>
      </w:r>
    </w:p>
    <w:p w14:paraId="1390AAA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5.5 定标细则</w:t>
      </w:r>
    </w:p>
    <w:p w14:paraId="7E52211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5.5.1 入围</w:t>
      </w:r>
      <w:r>
        <w:rPr>
          <w:rFonts w:hint="eastAsia" w:ascii="宋体" w:hAnsi="宋体" w:cs="宋体"/>
          <w:kern w:val="0"/>
          <w:sz w:val="24"/>
          <w:szCs w:val="24"/>
          <w:highlight w:val="none"/>
          <w:lang w:val="en-US" w:eastAsia="zh-CN" w:bidi="ar-SA"/>
        </w:rPr>
        <w:t>单位</w:t>
      </w:r>
      <w:r>
        <w:rPr>
          <w:rFonts w:hint="eastAsia" w:ascii="宋体" w:hAnsi="宋体" w:eastAsia="宋体" w:cs="宋体"/>
          <w:kern w:val="0"/>
          <w:sz w:val="24"/>
          <w:szCs w:val="24"/>
          <w:highlight w:val="none"/>
          <w:lang w:val="en-US" w:eastAsia="zh-CN" w:bidi="ar-SA"/>
        </w:rPr>
        <w:t>确定后，开启</w:t>
      </w:r>
      <w:r>
        <w:rPr>
          <w:rFonts w:hint="eastAsia" w:ascii="宋体" w:hAnsi="宋体" w:cs="宋体"/>
          <w:color w:val="auto"/>
          <w:kern w:val="0"/>
          <w:sz w:val="24"/>
          <w:highlight w:val="none"/>
          <w:lang w:val="en-US" w:eastAsia="zh-CN"/>
        </w:rPr>
        <w:t>投标单位</w:t>
      </w:r>
      <w:r>
        <w:rPr>
          <w:rFonts w:hint="eastAsia" w:ascii="宋体" w:hAnsi="宋体" w:eastAsia="宋体" w:cs="宋体"/>
          <w:kern w:val="0"/>
          <w:sz w:val="24"/>
          <w:szCs w:val="24"/>
          <w:highlight w:val="none"/>
          <w:lang w:val="en-US" w:eastAsia="zh-CN" w:bidi="ar-SA"/>
        </w:rPr>
        <w:t>的报价文件，再由询价小组对</w:t>
      </w:r>
      <w:r>
        <w:rPr>
          <w:rFonts w:hint="eastAsia" w:ascii="宋体" w:hAnsi="宋体" w:cs="宋体"/>
          <w:color w:val="auto"/>
          <w:kern w:val="0"/>
          <w:sz w:val="24"/>
          <w:highlight w:val="none"/>
          <w:lang w:val="en-US" w:eastAsia="zh-CN"/>
        </w:rPr>
        <w:t>投标单位</w:t>
      </w:r>
      <w:r>
        <w:rPr>
          <w:rFonts w:hint="eastAsia" w:ascii="宋体" w:hAnsi="宋体" w:eastAsia="宋体" w:cs="宋体"/>
          <w:kern w:val="0"/>
          <w:sz w:val="24"/>
          <w:szCs w:val="24"/>
          <w:highlight w:val="none"/>
          <w:lang w:val="en-US" w:eastAsia="zh-CN" w:bidi="ar-SA"/>
        </w:rPr>
        <w:t>进行一对一询价，本次评审方法采取最低评审价法：询价小组从质量和服务均能满足询价通知书实质性响应要求的</w:t>
      </w:r>
      <w:r>
        <w:rPr>
          <w:rFonts w:hint="eastAsia" w:ascii="宋体" w:hAnsi="宋体" w:cs="宋体"/>
          <w:color w:val="auto"/>
          <w:kern w:val="0"/>
          <w:sz w:val="24"/>
          <w:highlight w:val="none"/>
          <w:lang w:val="en-US" w:eastAsia="zh-CN"/>
        </w:rPr>
        <w:t>投标单位</w:t>
      </w:r>
      <w:r>
        <w:rPr>
          <w:rFonts w:hint="eastAsia" w:ascii="宋体" w:hAnsi="宋体" w:eastAsia="宋体" w:cs="宋体"/>
          <w:kern w:val="0"/>
          <w:sz w:val="24"/>
          <w:szCs w:val="24"/>
          <w:highlight w:val="none"/>
          <w:lang w:val="en-US" w:eastAsia="zh-CN" w:bidi="ar-SA"/>
        </w:rPr>
        <w:t>中，按照报价由低到高的顺序提出1名成交候选人。</w:t>
      </w:r>
    </w:p>
    <w:p w14:paraId="267960B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 xml:space="preserve">5.5.2 </w:t>
      </w:r>
      <w:r>
        <w:rPr>
          <w:rFonts w:hint="eastAsia" w:ascii="宋体" w:hAnsi="宋体" w:eastAsia="宋体" w:cs="宋体"/>
          <w:kern w:val="0"/>
          <w:sz w:val="24"/>
          <w:szCs w:val="24"/>
          <w:lang w:val="en-US" w:eastAsia="zh-CN" w:bidi="ar-SA"/>
        </w:rPr>
        <w:t>报价是中标的一个重要因素，但最低报价不是中标的唯一依据。</w:t>
      </w:r>
    </w:p>
    <w:p w14:paraId="1F8AAB5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b/>
          <w:bCs/>
          <w:kern w:val="0"/>
          <w:sz w:val="24"/>
          <w:szCs w:val="24"/>
          <w:lang w:val="en-US" w:eastAsia="zh-CN" w:bidi="ar-SA"/>
        </w:rPr>
        <w:t>5.5.3</w:t>
      </w:r>
      <w:r>
        <w:rPr>
          <w:rFonts w:hint="eastAsia" w:ascii="宋体" w:hAnsi="宋体" w:eastAsia="宋体" w:cs="宋体"/>
          <w:kern w:val="0"/>
          <w:sz w:val="24"/>
          <w:szCs w:val="24"/>
          <w:lang w:val="en-US" w:eastAsia="zh-CN" w:bidi="ar-SA"/>
        </w:rPr>
        <w:t xml:space="preserve"> 评标委员会认为</w:t>
      </w:r>
      <w:r>
        <w:rPr>
          <w:rFonts w:hint="eastAsia" w:ascii="宋体" w:hAnsi="宋体" w:cs="宋体"/>
          <w:color w:val="auto"/>
          <w:kern w:val="0"/>
          <w:sz w:val="24"/>
          <w:highlight w:val="none"/>
          <w:lang w:val="en-US" w:eastAsia="zh-CN"/>
        </w:rPr>
        <w:t>投标单位</w:t>
      </w:r>
      <w:r>
        <w:rPr>
          <w:rFonts w:hint="eastAsia" w:ascii="宋体" w:hAnsi="宋体" w:eastAsia="宋体" w:cs="宋体"/>
          <w:kern w:val="0"/>
          <w:sz w:val="24"/>
          <w:szCs w:val="24"/>
          <w:lang w:val="en-US" w:eastAsia="zh-CN" w:bidi="ar-SA"/>
        </w:rPr>
        <w:t>的报价明显低于其他通过符合性审</w:t>
      </w:r>
      <w:r>
        <w:rPr>
          <w:rFonts w:hint="eastAsia" w:ascii="宋体" w:hAnsi="宋体" w:cs="宋体"/>
          <w:kern w:val="0"/>
          <w:sz w:val="24"/>
          <w:szCs w:val="24"/>
          <w:lang w:val="en-US" w:eastAsia="zh-CN" w:bidi="ar-SA"/>
        </w:rPr>
        <w:t>查的</w:t>
      </w:r>
      <w:r>
        <w:rPr>
          <w:rFonts w:hint="eastAsia" w:ascii="宋体" w:hAnsi="宋体" w:cs="宋体"/>
          <w:color w:val="auto"/>
          <w:kern w:val="0"/>
          <w:sz w:val="24"/>
          <w:highlight w:val="none"/>
          <w:lang w:val="en-US" w:eastAsia="zh-CN"/>
        </w:rPr>
        <w:t>投标单位</w:t>
      </w:r>
      <w:r>
        <w:rPr>
          <w:rFonts w:hint="eastAsia" w:ascii="宋体" w:hAnsi="宋体" w:eastAsia="宋体" w:cs="宋体"/>
          <w:kern w:val="0"/>
          <w:sz w:val="24"/>
          <w:szCs w:val="24"/>
          <w:lang w:val="en-US" w:eastAsia="zh-CN" w:bidi="ar-SA"/>
        </w:rPr>
        <w:t>的报价，有可能影响产品质量或者不能诚信履约的，应当要求其在评标现场合理的时间内提供书面说明，必要时提交相关证明材料；供应商不能证明其报价合理性的，评标委员会应当将其作为无效投标处理，并在评审报告中说明。</w:t>
      </w:r>
      <w:r>
        <w:rPr>
          <w:rFonts w:hint="eastAsia" w:ascii="宋体" w:hAnsi="宋体" w:cs="宋体"/>
          <w:kern w:val="0"/>
          <w:sz w:val="24"/>
          <w:szCs w:val="24"/>
          <w:lang w:val="en-US" w:eastAsia="zh-CN" w:bidi="ar-SA"/>
        </w:rPr>
        <w:t>采购单位</w:t>
      </w:r>
      <w:r>
        <w:rPr>
          <w:rFonts w:hint="eastAsia" w:ascii="宋体" w:hAnsi="宋体" w:eastAsia="宋体" w:cs="宋体"/>
          <w:kern w:val="0"/>
          <w:sz w:val="24"/>
          <w:szCs w:val="24"/>
          <w:lang w:val="en-US" w:eastAsia="zh-CN" w:bidi="ar-SA"/>
        </w:rPr>
        <w:t>或采购代理机构应将上述情况报同级财政部门，对弄虚作假、恶意串通的</w:t>
      </w:r>
      <w:r>
        <w:rPr>
          <w:rFonts w:hint="eastAsia" w:ascii="宋体" w:hAnsi="宋体" w:cs="宋体"/>
          <w:color w:val="auto"/>
          <w:kern w:val="0"/>
          <w:sz w:val="24"/>
          <w:highlight w:val="none"/>
          <w:lang w:val="en-US" w:eastAsia="zh-CN"/>
        </w:rPr>
        <w:t>投标单位</w:t>
      </w:r>
      <w:r>
        <w:rPr>
          <w:rFonts w:hint="eastAsia" w:ascii="宋体" w:hAnsi="宋体" w:eastAsia="宋体" w:cs="宋体"/>
          <w:kern w:val="0"/>
          <w:sz w:val="24"/>
          <w:szCs w:val="24"/>
          <w:lang w:val="en-US" w:eastAsia="zh-CN" w:bidi="ar-SA"/>
        </w:rPr>
        <w:t>，应将其列入不良行为记录名单，在1至3年内禁止参加采购活动。</w:t>
      </w:r>
    </w:p>
    <w:p w14:paraId="0BA20CDE">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lang w:val="en-US" w:eastAsia="zh-CN"/>
        </w:rPr>
        <w:t>5</w:t>
      </w:r>
      <w:r>
        <w:rPr>
          <w:rFonts w:hint="eastAsia" w:ascii="宋体" w:hAnsi="宋体" w:eastAsia="宋体" w:cs="宋体"/>
          <w:b/>
          <w:kern w:val="0"/>
          <w:sz w:val="24"/>
        </w:rPr>
        <w:t>.</w:t>
      </w:r>
      <w:r>
        <w:rPr>
          <w:rFonts w:hint="eastAsia" w:ascii="宋体" w:hAnsi="宋体" w:eastAsia="宋体" w:cs="宋体"/>
          <w:b/>
          <w:kern w:val="0"/>
          <w:sz w:val="24"/>
          <w:lang w:val="en-US" w:eastAsia="zh-CN"/>
        </w:rPr>
        <w:t>6</w:t>
      </w:r>
      <w:r>
        <w:rPr>
          <w:rFonts w:hint="eastAsia" w:ascii="宋体" w:hAnsi="宋体" w:eastAsia="宋体" w:cs="宋体"/>
          <w:b/>
          <w:kern w:val="0"/>
          <w:sz w:val="24"/>
        </w:rPr>
        <w:t>报价评审。</w:t>
      </w:r>
    </w:p>
    <w:p w14:paraId="4E5A4712">
      <w:pPr>
        <w:pStyle w:val="135"/>
        <w:spacing w:before="0"/>
        <w:ind w:firstLine="508" w:firstLineChars="212"/>
        <w:rPr>
          <w:rFonts w:hint="eastAsia" w:ascii="宋体" w:hAnsi="宋体" w:eastAsia="宋体" w:cs="宋体"/>
          <w:kern w:val="0"/>
        </w:rPr>
      </w:pPr>
      <w:r>
        <w:rPr>
          <w:rFonts w:hint="eastAsia" w:ascii="宋体" w:hAnsi="宋体" w:eastAsia="宋体" w:cs="宋体"/>
          <w:kern w:val="0"/>
          <w:lang w:val="en-US" w:eastAsia="zh-CN"/>
        </w:rPr>
        <w:t>5</w:t>
      </w:r>
      <w:r>
        <w:rPr>
          <w:rFonts w:hint="eastAsia" w:ascii="宋体" w:hAnsi="宋体" w:eastAsia="宋体" w:cs="宋体"/>
          <w:kern w:val="0"/>
        </w:rPr>
        <w:t>.</w:t>
      </w:r>
      <w:r>
        <w:rPr>
          <w:rFonts w:hint="eastAsia" w:ascii="宋体" w:hAnsi="宋体" w:eastAsia="宋体" w:cs="宋体"/>
          <w:kern w:val="0"/>
          <w:lang w:val="en-US" w:eastAsia="zh-CN"/>
        </w:rPr>
        <w:t>6</w:t>
      </w:r>
      <w:r>
        <w:rPr>
          <w:rFonts w:hint="eastAsia" w:ascii="宋体" w:hAnsi="宋体" w:eastAsia="宋体" w:cs="宋体"/>
          <w:kern w:val="0"/>
        </w:rPr>
        <w:t>.1投标文件报价出现前后不一致的，按照下列规定修正：</w:t>
      </w:r>
    </w:p>
    <w:p w14:paraId="1BD6DA4F">
      <w:pPr>
        <w:pStyle w:val="135"/>
        <w:spacing w:before="0"/>
        <w:ind w:firstLine="480"/>
        <w:rPr>
          <w:rFonts w:hint="eastAsia" w:ascii="宋体" w:hAnsi="宋体" w:eastAsia="宋体" w:cs="宋体"/>
          <w:kern w:val="0"/>
          <w:szCs w:val="24"/>
        </w:rPr>
      </w:pPr>
      <w:r>
        <w:rPr>
          <w:rFonts w:hint="eastAsia" w:ascii="宋体" w:hAnsi="宋体" w:eastAsia="宋体" w:cs="宋体"/>
          <w:kern w:val="0"/>
          <w:szCs w:val="24"/>
          <w:lang w:val="en-US" w:eastAsia="zh-CN"/>
        </w:rPr>
        <w:t>5</w:t>
      </w:r>
      <w:r>
        <w:rPr>
          <w:rFonts w:hint="eastAsia" w:ascii="宋体" w:hAnsi="宋体" w:eastAsia="宋体" w:cs="宋体"/>
          <w:kern w:val="0"/>
          <w:szCs w:val="24"/>
        </w:rPr>
        <w:t>.</w:t>
      </w:r>
      <w:r>
        <w:rPr>
          <w:rFonts w:hint="eastAsia" w:ascii="宋体" w:hAnsi="宋体" w:eastAsia="宋体" w:cs="宋体"/>
          <w:kern w:val="0"/>
          <w:szCs w:val="24"/>
          <w:lang w:val="en-US" w:eastAsia="zh-CN"/>
        </w:rPr>
        <w:t>6</w:t>
      </w:r>
      <w:r>
        <w:rPr>
          <w:rFonts w:hint="eastAsia" w:ascii="宋体" w:hAnsi="宋体" w:eastAsia="宋体" w:cs="宋体"/>
          <w:kern w:val="0"/>
          <w:szCs w:val="24"/>
        </w:rPr>
        <w:t>.1.1投标文件中开标一览表</w:t>
      </w:r>
      <w:r>
        <w:rPr>
          <w:rFonts w:hint="eastAsia" w:ascii="宋体" w:hAnsi="宋体" w:cs="宋体"/>
          <w:kern w:val="0"/>
          <w:szCs w:val="24"/>
          <w:lang w:eastAsia="zh-CN"/>
        </w:rPr>
        <w:t>（</w:t>
      </w:r>
      <w:r>
        <w:rPr>
          <w:rFonts w:hint="eastAsia" w:ascii="宋体" w:hAnsi="宋体" w:eastAsia="宋体" w:cs="宋体"/>
          <w:kern w:val="0"/>
          <w:szCs w:val="24"/>
        </w:rPr>
        <w:t>报价表</w:t>
      </w:r>
      <w:r>
        <w:rPr>
          <w:rFonts w:hint="eastAsia" w:ascii="宋体" w:hAnsi="宋体" w:cs="宋体"/>
          <w:kern w:val="0"/>
          <w:szCs w:val="24"/>
          <w:lang w:eastAsia="zh-CN"/>
        </w:rPr>
        <w:t>）</w:t>
      </w:r>
      <w:r>
        <w:rPr>
          <w:rFonts w:hint="eastAsia" w:ascii="宋体" w:hAnsi="宋体" w:eastAsia="宋体" w:cs="宋体"/>
          <w:kern w:val="0"/>
          <w:szCs w:val="24"/>
        </w:rPr>
        <w:t>内容与投标文件中相应内容不一致的，以开标一览表</w:t>
      </w:r>
      <w:r>
        <w:rPr>
          <w:rFonts w:hint="eastAsia" w:ascii="宋体" w:hAnsi="宋体" w:cs="宋体"/>
          <w:kern w:val="0"/>
          <w:szCs w:val="24"/>
          <w:lang w:eastAsia="zh-CN"/>
        </w:rPr>
        <w:t>（</w:t>
      </w:r>
      <w:r>
        <w:rPr>
          <w:rFonts w:hint="eastAsia" w:ascii="宋体" w:hAnsi="宋体" w:eastAsia="宋体" w:cs="宋体"/>
          <w:kern w:val="0"/>
          <w:szCs w:val="24"/>
        </w:rPr>
        <w:t>报价表</w:t>
      </w:r>
      <w:r>
        <w:rPr>
          <w:rFonts w:hint="eastAsia" w:ascii="宋体" w:hAnsi="宋体" w:cs="宋体"/>
          <w:kern w:val="0"/>
          <w:szCs w:val="24"/>
          <w:lang w:eastAsia="zh-CN"/>
        </w:rPr>
        <w:t>）</w:t>
      </w:r>
      <w:r>
        <w:rPr>
          <w:rFonts w:hint="eastAsia" w:ascii="宋体" w:hAnsi="宋体" w:eastAsia="宋体" w:cs="宋体"/>
          <w:kern w:val="0"/>
          <w:szCs w:val="24"/>
        </w:rPr>
        <w:t>为准</w:t>
      </w:r>
      <w:r>
        <w:rPr>
          <w:rFonts w:hint="eastAsia" w:ascii="宋体" w:hAnsi="宋体" w:cs="宋体"/>
          <w:kern w:val="0"/>
          <w:szCs w:val="24"/>
          <w:lang w:eastAsia="zh-CN"/>
        </w:rPr>
        <w:t>；</w:t>
      </w:r>
    </w:p>
    <w:p w14:paraId="69DE8AC8">
      <w:pPr>
        <w:pStyle w:val="135"/>
        <w:spacing w:before="0"/>
        <w:ind w:firstLine="480"/>
        <w:rPr>
          <w:rFonts w:hint="eastAsia" w:ascii="宋体" w:hAnsi="宋体" w:eastAsia="宋体" w:cs="宋体"/>
          <w:kern w:val="0"/>
          <w:szCs w:val="24"/>
        </w:rPr>
      </w:pPr>
      <w:r>
        <w:rPr>
          <w:rFonts w:hint="eastAsia" w:ascii="宋体" w:hAnsi="宋体" w:eastAsia="宋体" w:cs="宋体"/>
          <w:kern w:val="0"/>
          <w:szCs w:val="24"/>
          <w:lang w:val="en-US" w:eastAsia="zh-CN"/>
        </w:rPr>
        <w:t>5</w:t>
      </w:r>
      <w:r>
        <w:rPr>
          <w:rFonts w:hint="eastAsia" w:ascii="宋体" w:hAnsi="宋体" w:eastAsia="宋体" w:cs="宋体"/>
          <w:kern w:val="0"/>
          <w:szCs w:val="24"/>
        </w:rPr>
        <w:t>.</w:t>
      </w:r>
      <w:r>
        <w:rPr>
          <w:rFonts w:hint="eastAsia" w:ascii="宋体" w:hAnsi="宋体" w:eastAsia="宋体" w:cs="宋体"/>
          <w:kern w:val="0"/>
          <w:szCs w:val="24"/>
          <w:lang w:val="en-US" w:eastAsia="zh-CN"/>
        </w:rPr>
        <w:t>6</w:t>
      </w:r>
      <w:r>
        <w:rPr>
          <w:rFonts w:hint="eastAsia" w:ascii="宋体" w:hAnsi="宋体" w:eastAsia="宋体" w:cs="宋体"/>
          <w:kern w:val="0"/>
          <w:szCs w:val="24"/>
        </w:rPr>
        <w:t>.1.2大写金额和小写金额不一致的，以大写金额为准</w:t>
      </w:r>
      <w:r>
        <w:rPr>
          <w:rFonts w:hint="eastAsia" w:ascii="宋体" w:hAnsi="宋体" w:cs="宋体"/>
          <w:kern w:val="0"/>
          <w:szCs w:val="24"/>
          <w:lang w:eastAsia="zh-CN"/>
        </w:rPr>
        <w:t>；</w:t>
      </w:r>
    </w:p>
    <w:p w14:paraId="31A4A685">
      <w:pPr>
        <w:pStyle w:val="135"/>
        <w:spacing w:before="0"/>
        <w:ind w:firstLine="480"/>
        <w:rPr>
          <w:rFonts w:hint="eastAsia" w:ascii="宋体" w:hAnsi="宋体" w:eastAsia="宋体" w:cs="宋体"/>
          <w:kern w:val="0"/>
          <w:szCs w:val="24"/>
        </w:rPr>
      </w:pPr>
      <w:r>
        <w:rPr>
          <w:rFonts w:hint="eastAsia" w:ascii="宋体" w:hAnsi="宋体" w:eastAsia="宋体" w:cs="宋体"/>
          <w:kern w:val="0"/>
          <w:szCs w:val="24"/>
          <w:lang w:val="en-US" w:eastAsia="zh-CN"/>
        </w:rPr>
        <w:t>5</w:t>
      </w:r>
      <w:r>
        <w:rPr>
          <w:rFonts w:hint="eastAsia" w:ascii="宋体" w:hAnsi="宋体" w:eastAsia="宋体" w:cs="宋体"/>
          <w:kern w:val="0"/>
          <w:szCs w:val="24"/>
        </w:rPr>
        <w:t>.</w:t>
      </w:r>
      <w:r>
        <w:rPr>
          <w:rFonts w:hint="eastAsia" w:ascii="宋体" w:hAnsi="宋体" w:eastAsia="宋体" w:cs="宋体"/>
          <w:kern w:val="0"/>
          <w:szCs w:val="24"/>
          <w:lang w:val="en-US" w:eastAsia="zh-CN"/>
        </w:rPr>
        <w:t>6</w:t>
      </w:r>
      <w:r>
        <w:rPr>
          <w:rFonts w:hint="eastAsia" w:ascii="宋体" w:hAnsi="宋体" w:eastAsia="宋体" w:cs="宋体"/>
          <w:kern w:val="0"/>
          <w:szCs w:val="24"/>
        </w:rPr>
        <w:t>.1.3单价金额小数点或者百分比有明显错位的，以开标一览表的总价为准，并修改单价</w:t>
      </w:r>
      <w:r>
        <w:rPr>
          <w:rFonts w:hint="eastAsia" w:ascii="宋体" w:hAnsi="宋体" w:cs="宋体"/>
          <w:kern w:val="0"/>
          <w:szCs w:val="24"/>
          <w:lang w:eastAsia="zh-CN"/>
        </w:rPr>
        <w:t>；</w:t>
      </w:r>
    </w:p>
    <w:p w14:paraId="5B5ABCA5">
      <w:pPr>
        <w:pStyle w:val="135"/>
        <w:spacing w:before="0"/>
        <w:ind w:firstLine="480"/>
        <w:rPr>
          <w:rFonts w:hint="eastAsia" w:ascii="宋体" w:hAnsi="宋体" w:eastAsia="宋体" w:cs="宋体"/>
          <w:kern w:val="0"/>
          <w:szCs w:val="24"/>
        </w:rPr>
      </w:pPr>
      <w:r>
        <w:rPr>
          <w:rFonts w:hint="eastAsia" w:ascii="宋体" w:hAnsi="宋体" w:eastAsia="宋体" w:cs="宋体"/>
          <w:kern w:val="0"/>
          <w:szCs w:val="24"/>
          <w:lang w:val="en-US" w:eastAsia="zh-CN"/>
        </w:rPr>
        <w:t>5</w:t>
      </w:r>
      <w:r>
        <w:rPr>
          <w:rFonts w:hint="eastAsia" w:ascii="宋体" w:hAnsi="宋体" w:eastAsia="宋体" w:cs="宋体"/>
          <w:kern w:val="0"/>
          <w:szCs w:val="24"/>
        </w:rPr>
        <w:t>.</w:t>
      </w:r>
      <w:r>
        <w:rPr>
          <w:rFonts w:hint="eastAsia" w:ascii="宋体" w:hAnsi="宋体" w:eastAsia="宋体" w:cs="宋体"/>
          <w:kern w:val="0"/>
          <w:szCs w:val="24"/>
          <w:lang w:val="en-US" w:eastAsia="zh-CN"/>
        </w:rPr>
        <w:t>6</w:t>
      </w:r>
      <w:r>
        <w:rPr>
          <w:rFonts w:hint="eastAsia" w:ascii="宋体" w:hAnsi="宋体" w:eastAsia="宋体" w:cs="宋体"/>
          <w:kern w:val="0"/>
          <w:szCs w:val="24"/>
        </w:rPr>
        <w:t>.1.4总价金额与按单价汇总金额不一致的，以单价金额计算结果为准。</w:t>
      </w:r>
    </w:p>
    <w:p w14:paraId="4E9B60FA">
      <w:pPr>
        <w:pStyle w:val="135"/>
        <w:spacing w:before="0"/>
        <w:ind w:firstLine="480"/>
        <w:rPr>
          <w:rFonts w:hint="eastAsia" w:ascii="宋体" w:hAnsi="宋体" w:eastAsia="宋体" w:cs="宋体"/>
          <w:kern w:val="0"/>
          <w:szCs w:val="24"/>
        </w:rPr>
      </w:pPr>
      <w:r>
        <w:rPr>
          <w:rFonts w:hint="eastAsia" w:ascii="宋体" w:hAnsi="宋体" w:eastAsia="宋体" w:cs="宋体"/>
          <w:kern w:val="0"/>
          <w:szCs w:val="24"/>
          <w:lang w:val="en-US" w:eastAsia="zh-CN"/>
        </w:rPr>
        <w:t>5</w:t>
      </w:r>
      <w:r>
        <w:rPr>
          <w:rFonts w:hint="eastAsia" w:ascii="宋体" w:hAnsi="宋体" w:eastAsia="宋体" w:cs="宋体"/>
          <w:kern w:val="0"/>
          <w:szCs w:val="24"/>
        </w:rPr>
        <w:t>.</w:t>
      </w:r>
      <w:r>
        <w:rPr>
          <w:rFonts w:hint="eastAsia" w:ascii="宋体" w:hAnsi="宋体" w:eastAsia="宋体" w:cs="宋体"/>
          <w:kern w:val="0"/>
          <w:szCs w:val="24"/>
          <w:lang w:val="en-US" w:eastAsia="zh-CN"/>
        </w:rPr>
        <w:t>6</w:t>
      </w:r>
      <w:r>
        <w:rPr>
          <w:rFonts w:hint="eastAsia" w:ascii="宋体" w:hAnsi="宋体" w:eastAsia="宋体" w:cs="宋体"/>
          <w:kern w:val="0"/>
          <w:szCs w:val="24"/>
        </w:rPr>
        <w:t>.1.5同时出现两种以上不一致的，按照3.4.1规定的顺序修正。修正后的报价按照财政部第87号令 《政府采购货物和服务招标投标管理办法》第五十一条第二款的规定经</w:t>
      </w:r>
      <w:r>
        <w:rPr>
          <w:rFonts w:hint="eastAsia" w:ascii="宋体" w:hAnsi="宋体" w:cs="宋体"/>
          <w:kern w:val="0"/>
          <w:szCs w:val="24"/>
          <w:lang w:eastAsia="zh-CN"/>
        </w:rPr>
        <w:t>投标单位</w:t>
      </w:r>
      <w:r>
        <w:rPr>
          <w:rFonts w:hint="eastAsia" w:ascii="宋体" w:hAnsi="宋体" w:eastAsia="宋体" w:cs="宋体"/>
          <w:kern w:val="0"/>
          <w:szCs w:val="24"/>
        </w:rPr>
        <w:t>确认后产生约束力。</w:t>
      </w:r>
    </w:p>
    <w:p w14:paraId="7127746D">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rPr>
        <w:t>.</w:t>
      </w:r>
      <w:r>
        <w:rPr>
          <w:rFonts w:hint="eastAsia" w:ascii="宋体" w:hAnsi="宋体" w:eastAsia="宋体" w:cs="宋体"/>
          <w:kern w:val="0"/>
          <w:sz w:val="24"/>
          <w:lang w:val="en-US" w:eastAsia="zh-CN"/>
        </w:rPr>
        <w:t>6</w:t>
      </w:r>
      <w:r>
        <w:rPr>
          <w:rFonts w:hint="eastAsia" w:ascii="宋体" w:hAnsi="宋体" w:eastAsia="宋体" w:cs="宋体"/>
          <w:kern w:val="0"/>
          <w:sz w:val="24"/>
        </w:rPr>
        <w:t>.2投标文件出现不是唯一的、有选择性投标报价的，投标无效。</w:t>
      </w:r>
    </w:p>
    <w:p w14:paraId="6983D2D6">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rPr>
        <w:t>.</w:t>
      </w:r>
      <w:r>
        <w:rPr>
          <w:rFonts w:hint="eastAsia" w:ascii="宋体" w:hAnsi="宋体" w:eastAsia="宋体" w:cs="宋体"/>
          <w:kern w:val="0"/>
          <w:sz w:val="24"/>
          <w:lang w:val="en-US" w:eastAsia="zh-CN"/>
        </w:rPr>
        <w:t>6</w:t>
      </w:r>
      <w:r>
        <w:rPr>
          <w:rFonts w:hint="eastAsia" w:ascii="宋体" w:hAnsi="宋体" w:eastAsia="宋体" w:cs="宋体"/>
          <w:kern w:val="0"/>
          <w:sz w:val="24"/>
        </w:rPr>
        <w:t>.3投标报价超过招标文件中规定的预算金额或者最高限价的，投标无效。</w:t>
      </w:r>
    </w:p>
    <w:p w14:paraId="2C5596C9">
      <w:pPr>
        <w:pStyle w:val="135"/>
        <w:spacing w:before="0"/>
        <w:ind w:firstLine="480"/>
        <w:rPr>
          <w:rFonts w:hint="eastAsia" w:ascii="宋体" w:hAnsi="宋体" w:eastAsia="宋体" w:cs="宋体"/>
          <w:kern w:val="0"/>
          <w:szCs w:val="24"/>
        </w:rPr>
      </w:pPr>
      <w:r>
        <w:rPr>
          <w:rFonts w:hint="eastAsia" w:ascii="宋体" w:hAnsi="宋体" w:eastAsia="宋体" w:cs="宋体"/>
          <w:kern w:val="0"/>
          <w:szCs w:val="24"/>
          <w:lang w:val="en-US" w:eastAsia="zh-CN"/>
        </w:rPr>
        <w:t>5</w:t>
      </w:r>
      <w:r>
        <w:rPr>
          <w:rFonts w:hint="eastAsia" w:ascii="宋体" w:hAnsi="宋体" w:eastAsia="宋体" w:cs="宋体"/>
          <w:kern w:val="0"/>
          <w:szCs w:val="24"/>
        </w:rPr>
        <w:t>.</w:t>
      </w:r>
      <w:r>
        <w:rPr>
          <w:rFonts w:hint="eastAsia" w:ascii="宋体" w:hAnsi="宋体" w:eastAsia="宋体" w:cs="宋体"/>
          <w:kern w:val="0"/>
          <w:szCs w:val="24"/>
          <w:lang w:val="en-US" w:eastAsia="zh-CN"/>
        </w:rPr>
        <w:t>6</w:t>
      </w:r>
      <w:r>
        <w:rPr>
          <w:rFonts w:hint="eastAsia" w:ascii="宋体" w:hAnsi="宋体" w:eastAsia="宋体" w:cs="宋体"/>
          <w:kern w:val="0"/>
          <w:szCs w:val="24"/>
        </w:rPr>
        <w:t>.4评标委员会认为</w:t>
      </w:r>
      <w:r>
        <w:rPr>
          <w:rFonts w:hint="eastAsia" w:ascii="宋体" w:hAnsi="宋体" w:cs="宋体"/>
          <w:kern w:val="0"/>
          <w:szCs w:val="24"/>
          <w:lang w:eastAsia="zh-CN"/>
        </w:rPr>
        <w:t>投标单位</w:t>
      </w:r>
      <w:r>
        <w:rPr>
          <w:rFonts w:hint="eastAsia" w:ascii="宋体" w:hAnsi="宋体" w:eastAsia="宋体" w:cs="宋体"/>
          <w:kern w:val="0"/>
          <w:szCs w:val="24"/>
        </w:rPr>
        <w:t>的报价明显低于其他通过符合性审</w:t>
      </w:r>
      <w:r>
        <w:rPr>
          <w:rFonts w:hint="eastAsia" w:ascii="宋体" w:hAnsi="宋体" w:cs="宋体"/>
          <w:kern w:val="0"/>
          <w:szCs w:val="24"/>
          <w:lang w:eastAsia="zh-CN"/>
        </w:rPr>
        <w:t>查的投标单位</w:t>
      </w:r>
      <w:r>
        <w:rPr>
          <w:rFonts w:hint="eastAsia" w:ascii="宋体" w:hAnsi="宋体" w:eastAsia="宋体" w:cs="宋体"/>
          <w:kern w:val="0"/>
          <w:szCs w:val="24"/>
        </w:rPr>
        <w:t>的报价，有可能影响产品质量或者不能诚信履约的，应当要求其在合理的时间内提供书面说明，必要时提交相关证明材料</w:t>
      </w:r>
      <w:r>
        <w:rPr>
          <w:rFonts w:hint="eastAsia" w:ascii="宋体" w:hAnsi="宋体" w:cs="宋体"/>
          <w:kern w:val="0"/>
          <w:szCs w:val="24"/>
          <w:lang w:eastAsia="zh-CN"/>
        </w:rPr>
        <w:t>；投标单位</w:t>
      </w:r>
      <w:r>
        <w:rPr>
          <w:rFonts w:hint="eastAsia" w:ascii="宋体" w:hAnsi="宋体" w:eastAsia="宋体" w:cs="宋体"/>
          <w:kern w:val="0"/>
          <w:szCs w:val="24"/>
        </w:rPr>
        <w:t>不能证明其报价合理性的，评标委员会应当将其作为无效投标处理。</w:t>
      </w:r>
    </w:p>
    <w:p w14:paraId="30414BFD">
      <w:pPr>
        <w:spacing w:line="360" w:lineRule="auto"/>
        <w:ind w:firstLine="472" w:firstLineChars="196"/>
        <w:rPr>
          <w:rFonts w:hint="eastAsia" w:ascii="宋体" w:hAnsi="宋体" w:eastAsia="宋体" w:cs="宋体"/>
        </w:rPr>
      </w:pPr>
      <w:r>
        <w:rPr>
          <w:rFonts w:hint="eastAsia" w:ascii="宋体" w:hAnsi="宋体" w:eastAsia="宋体" w:cs="宋体"/>
          <w:b/>
          <w:kern w:val="0"/>
          <w:sz w:val="24"/>
          <w:lang w:val="en-US" w:eastAsia="zh-CN"/>
        </w:rPr>
        <w:t>5</w:t>
      </w:r>
      <w:r>
        <w:rPr>
          <w:rFonts w:hint="eastAsia" w:ascii="宋体" w:hAnsi="宋体" w:eastAsia="宋体" w:cs="宋体"/>
          <w:b/>
          <w:kern w:val="0"/>
          <w:sz w:val="24"/>
        </w:rPr>
        <w:t>.</w:t>
      </w:r>
      <w:r>
        <w:rPr>
          <w:rFonts w:hint="eastAsia" w:ascii="宋体" w:hAnsi="宋体" w:eastAsia="宋体" w:cs="宋体"/>
          <w:b/>
          <w:kern w:val="0"/>
          <w:sz w:val="24"/>
          <w:lang w:val="en-US" w:eastAsia="zh-CN"/>
        </w:rPr>
        <w:t>7</w:t>
      </w:r>
      <w:r>
        <w:rPr>
          <w:rFonts w:hint="eastAsia" w:ascii="宋体" w:hAnsi="宋体" w:eastAsia="宋体" w:cs="宋体"/>
          <w:b/>
          <w:kern w:val="0"/>
          <w:sz w:val="24"/>
        </w:rPr>
        <w:t>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F0FC8EF">
      <w:pPr>
        <w:adjustRightInd/>
        <w:spacing w:line="360" w:lineRule="auto"/>
        <w:rPr>
          <w:rFonts w:hint="eastAsia" w:ascii="宋体" w:hAnsi="宋体" w:eastAsia="宋体" w:cs="宋体"/>
          <w:b/>
          <w:sz w:val="32"/>
          <w:lang w:val="en-US" w:eastAsia="zh-CN"/>
        </w:rPr>
      </w:pPr>
      <w:r>
        <w:rPr>
          <w:rFonts w:hint="eastAsia" w:ascii="宋体" w:hAnsi="宋体" w:eastAsia="宋体" w:cs="宋体"/>
          <w:b/>
          <w:sz w:val="32"/>
          <w:lang w:val="en-US" w:eastAsia="zh-CN"/>
        </w:rPr>
        <w:t>六、评标中的其他事项</w:t>
      </w:r>
    </w:p>
    <w:p w14:paraId="240127FE">
      <w:pPr>
        <w:pStyle w:val="135"/>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lang w:val="en-US" w:eastAsia="zh-CN"/>
        </w:rPr>
        <w:t>6</w:t>
      </w:r>
      <w:r>
        <w:rPr>
          <w:rFonts w:hint="eastAsia" w:ascii="宋体" w:hAnsi="宋体" w:eastAsia="宋体" w:cs="宋体"/>
          <w:b/>
          <w:kern w:val="0"/>
          <w:szCs w:val="24"/>
        </w:rPr>
        <w:t>.1</w:t>
      </w:r>
      <w:r>
        <w:rPr>
          <w:rFonts w:hint="eastAsia" w:ascii="宋体" w:hAnsi="宋体" w:cs="宋体"/>
          <w:b/>
          <w:kern w:val="0"/>
          <w:szCs w:val="24"/>
          <w:lang w:eastAsia="zh-CN"/>
        </w:rPr>
        <w:t>投标单位</w:t>
      </w:r>
      <w:r>
        <w:rPr>
          <w:rFonts w:hint="eastAsia" w:ascii="宋体" w:hAnsi="宋体" w:eastAsia="宋体" w:cs="宋体"/>
          <w:b/>
          <w:kern w:val="0"/>
          <w:szCs w:val="24"/>
        </w:rPr>
        <w:t>澄清、说明或者补正。</w:t>
      </w:r>
      <w:r>
        <w:rPr>
          <w:rFonts w:hint="eastAsia" w:ascii="宋体" w:hAnsi="宋体" w:eastAsia="宋体" w:cs="宋体"/>
          <w:kern w:val="0"/>
          <w:szCs w:val="24"/>
        </w:rPr>
        <w:t>对于投标文件中含义不明确、同类问题表述不一致或者有明显文字和计算错误的内容需要</w:t>
      </w:r>
      <w:r>
        <w:rPr>
          <w:rFonts w:hint="eastAsia" w:ascii="宋体" w:hAnsi="宋体" w:cs="宋体"/>
          <w:kern w:val="0"/>
          <w:szCs w:val="24"/>
          <w:lang w:eastAsia="zh-CN"/>
        </w:rPr>
        <w:t>投标单位</w:t>
      </w:r>
      <w:r>
        <w:rPr>
          <w:rFonts w:hint="eastAsia" w:ascii="宋体" w:hAnsi="宋体" w:eastAsia="宋体" w:cs="宋体"/>
          <w:kern w:val="0"/>
          <w:szCs w:val="24"/>
        </w:rPr>
        <w:t>作出必要的澄清、说明或者补正的，评标委员会和</w:t>
      </w:r>
      <w:r>
        <w:rPr>
          <w:rFonts w:hint="eastAsia" w:ascii="宋体" w:hAnsi="宋体" w:cs="宋体"/>
          <w:kern w:val="0"/>
          <w:szCs w:val="24"/>
          <w:lang w:eastAsia="zh-CN"/>
        </w:rPr>
        <w:t>投标单位</w:t>
      </w:r>
      <w:r>
        <w:rPr>
          <w:rFonts w:hint="eastAsia" w:ascii="宋体" w:hAnsi="宋体" w:eastAsia="宋体" w:cs="宋体"/>
          <w:kern w:val="0"/>
          <w:szCs w:val="24"/>
        </w:rPr>
        <w:t>通过</w:t>
      </w:r>
      <w:r>
        <w:rPr>
          <w:rFonts w:hint="eastAsia" w:ascii="宋体" w:hAnsi="宋体" w:eastAsia="宋体" w:cs="宋体"/>
          <w:kern w:val="0"/>
          <w:szCs w:val="24"/>
          <w:lang w:eastAsia="zh-CN"/>
        </w:rPr>
        <w:t>手机电话形式进行询标</w:t>
      </w:r>
      <w:r>
        <w:rPr>
          <w:rFonts w:hint="eastAsia" w:ascii="宋体" w:hAnsi="宋体" w:eastAsia="宋体" w:cs="宋体"/>
          <w:kern w:val="0"/>
          <w:szCs w:val="24"/>
        </w:rPr>
        <w:t>，给予</w:t>
      </w:r>
      <w:r>
        <w:rPr>
          <w:rFonts w:hint="eastAsia" w:ascii="宋体" w:hAnsi="宋体" w:cs="宋体"/>
          <w:kern w:val="0"/>
          <w:szCs w:val="24"/>
          <w:lang w:eastAsia="zh-CN"/>
        </w:rPr>
        <w:t>投标单位</w:t>
      </w:r>
      <w:r>
        <w:rPr>
          <w:rFonts w:hint="eastAsia" w:ascii="宋体" w:hAnsi="宋体" w:eastAsia="宋体" w:cs="宋体"/>
          <w:kern w:val="0"/>
          <w:szCs w:val="24"/>
        </w:rPr>
        <w:t>提交澄清、说明或补正的时间不得少于半小时，</w:t>
      </w:r>
      <w:r>
        <w:rPr>
          <w:rFonts w:hint="eastAsia" w:ascii="宋体" w:hAnsi="宋体" w:cs="宋体"/>
          <w:kern w:val="0"/>
          <w:szCs w:val="24"/>
          <w:lang w:eastAsia="zh-CN"/>
        </w:rPr>
        <w:t>投标单位</w:t>
      </w:r>
      <w:r>
        <w:rPr>
          <w:rFonts w:hint="eastAsia" w:ascii="宋体" w:hAnsi="宋体" w:eastAsia="宋体" w:cs="宋体"/>
          <w:kern w:val="0"/>
          <w:szCs w:val="24"/>
        </w:rPr>
        <w:t>已经明确表示澄清说明或补正完毕的除外。</w:t>
      </w:r>
      <w:r>
        <w:rPr>
          <w:rFonts w:hint="eastAsia" w:ascii="宋体" w:hAnsi="宋体" w:cs="宋体"/>
          <w:kern w:val="0"/>
          <w:szCs w:val="24"/>
          <w:lang w:eastAsia="zh-CN"/>
        </w:rPr>
        <w:t>投标单位</w:t>
      </w:r>
      <w:r>
        <w:rPr>
          <w:rFonts w:hint="eastAsia" w:ascii="宋体" w:hAnsi="宋体" w:eastAsia="宋体" w:cs="宋体"/>
          <w:kern w:val="0"/>
          <w:szCs w:val="24"/>
        </w:rPr>
        <w:t>的澄清、说明或者补正不得超出投标文件的范围或者改变投标文件的实质性内容。</w:t>
      </w:r>
    </w:p>
    <w:p w14:paraId="583815E1">
      <w:pPr>
        <w:pStyle w:val="30"/>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lang w:val="en-US" w:eastAsia="zh-CN"/>
        </w:rPr>
        <w:t>6</w:t>
      </w:r>
      <w:r>
        <w:rPr>
          <w:rFonts w:hint="eastAsia" w:ascii="宋体" w:hAnsi="宋体" w:eastAsia="宋体" w:cs="宋体"/>
          <w:b/>
          <w:kern w:val="0"/>
        </w:rPr>
        <w:t>.2投标无效。</w:t>
      </w:r>
      <w:r>
        <w:rPr>
          <w:rFonts w:hint="eastAsia" w:ascii="宋体" w:hAnsi="宋体" w:eastAsia="宋体" w:cs="宋体"/>
          <w:szCs w:val="21"/>
        </w:rPr>
        <w:t>有下列情况之一的，投标无效：</w:t>
      </w:r>
    </w:p>
    <w:p w14:paraId="1606F0C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.2.1</w:t>
      </w:r>
      <w:r>
        <w:rPr>
          <w:rFonts w:hint="eastAsia" w:ascii="宋体" w:hAnsi="宋体" w:cs="宋体"/>
          <w:kern w:val="0"/>
          <w:sz w:val="24"/>
          <w:lang w:eastAsia="zh-CN"/>
        </w:rPr>
        <w:t>投标单位</w:t>
      </w:r>
      <w:r>
        <w:rPr>
          <w:rFonts w:hint="eastAsia" w:ascii="宋体" w:hAnsi="宋体" w:eastAsia="宋体" w:cs="宋体"/>
          <w:kern w:val="0"/>
          <w:sz w:val="24"/>
        </w:rPr>
        <w:t>不具备招标文件中规定的资格要求的（</w:t>
      </w:r>
      <w:r>
        <w:rPr>
          <w:rFonts w:hint="eastAsia" w:ascii="宋体" w:hAnsi="宋体" w:cs="宋体"/>
          <w:kern w:val="0"/>
          <w:sz w:val="24"/>
          <w:lang w:eastAsia="zh-CN"/>
        </w:rPr>
        <w:t>投标单位</w:t>
      </w:r>
      <w:r>
        <w:rPr>
          <w:rFonts w:hint="eastAsia" w:ascii="宋体" w:hAnsi="宋体" w:eastAsia="宋体" w:cs="宋体"/>
          <w:kern w:val="0"/>
          <w:sz w:val="24"/>
        </w:rPr>
        <w:t>未提供有效的资格文件的，视为</w:t>
      </w:r>
      <w:r>
        <w:rPr>
          <w:rFonts w:hint="eastAsia" w:ascii="宋体" w:hAnsi="宋体" w:cs="宋体"/>
          <w:kern w:val="0"/>
          <w:sz w:val="24"/>
          <w:lang w:eastAsia="zh-CN"/>
        </w:rPr>
        <w:t>投标单位</w:t>
      </w:r>
      <w:r>
        <w:rPr>
          <w:rFonts w:hint="eastAsia" w:ascii="宋体" w:hAnsi="宋体" w:eastAsia="宋体" w:cs="宋体"/>
          <w:kern w:val="0"/>
          <w:sz w:val="24"/>
        </w:rPr>
        <w:t>不具备招标文件中规定的资格要求）；</w:t>
      </w:r>
    </w:p>
    <w:p w14:paraId="2996FF8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.2.2投标文件未按照招标文件要求签署、盖章的；</w:t>
      </w:r>
    </w:p>
    <w:p w14:paraId="120ABDB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.2.3</w:t>
      </w:r>
      <w:r>
        <w:rPr>
          <w:rFonts w:hint="eastAsia" w:ascii="宋体" w:hAnsi="宋体" w:cs="宋体"/>
          <w:kern w:val="0"/>
          <w:sz w:val="24"/>
          <w:lang w:eastAsia="zh-CN"/>
        </w:rPr>
        <w:t>采购单位</w:t>
      </w:r>
      <w:r>
        <w:rPr>
          <w:rFonts w:hint="eastAsia" w:ascii="宋体" w:hAnsi="宋体" w:eastAsia="宋体" w:cs="宋体"/>
          <w:kern w:val="0"/>
          <w:sz w:val="24"/>
        </w:rPr>
        <w:t>拟采购的产品属于政府强制采购的节能产品品目清单范围的，</w:t>
      </w:r>
      <w:r>
        <w:rPr>
          <w:rFonts w:hint="eastAsia" w:ascii="宋体" w:hAnsi="宋体" w:cs="宋体"/>
          <w:kern w:val="0"/>
          <w:sz w:val="24"/>
          <w:lang w:eastAsia="zh-CN"/>
        </w:rPr>
        <w:t>投标单位</w:t>
      </w:r>
      <w:r>
        <w:rPr>
          <w:rFonts w:hint="eastAsia" w:ascii="宋体" w:hAnsi="宋体" w:eastAsia="宋体" w:cs="宋体"/>
          <w:kern w:val="0"/>
          <w:sz w:val="24"/>
        </w:rPr>
        <w:t>未按招标文件要求提供国家确定的认证机构出具的、处于有效期之内的节能产品认证证书的；</w:t>
      </w:r>
    </w:p>
    <w:p w14:paraId="4A65A43E">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.2.4投标文件含有</w:t>
      </w:r>
      <w:r>
        <w:rPr>
          <w:rFonts w:hint="eastAsia" w:ascii="宋体" w:hAnsi="宋体" w:cs="宋体"/>
          <w:kern w:val="0"/>
          <w:sz w:val="24"/>
          <w:lang w:eastAsia="zh-CN"/>
        </w:rPr>
        <w:t>采购单位</w:t>
      </w:r>
      <w:r>
        <w:rPr>
          <w:rFonts w:hint="eastAsia" w:ascii="宋体" w:hAnsi="宋体" w:eastAsia="宋体" w:cs="宋体"/>
          <w:kern w:val="0"/>
          <w:sz w:val="24"/>
        </w:rPr>
        <w:t>不能接受的附加条件的；</w:t>
      </w:r>
    </w:p>
    <w:p w14:paraId="65D1949C">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.2.5投标文件中承诺的投标有效期少于招标文件中载明的投标有效期的；</w:t>
      </w:r>
    </w:p>
    <w:p w14:paraId="01706AB2">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en-US" w:eastAsia="zh-CN"/>
        </w:rPr>
        <w:t>6</w:t>
      </w:r>
      <w:r>
        <w:rPr>
          <w:rFonts w:hint="eastAsia" w:ascii="宋体" w:hAnsi="宋体" w:eastAsia="宋体" w:cs="宋体"/>
          <w:kern w:val="0"/>
          <w:sz w:val="24"/>
        </w:rPr>
        <w:t>.2.6投标文件出现不是唯一的、有选择性投标报价的</w:t>
      </w:r>
      <w:r>
        <w:rPr>
          <w:rFonts w:hint="eastAsia" w:ascii="宋体" w:hAnsi="宋体" w:cs="宋体"/>
          <w:kern w:val="0"/>
          <w:sz w:val="24"/>
          <w:lang w:eastAsia="zh-CN"/>
        </w:rPr>
        <w:t>；</w:t>
      </w:r>
    </w:p>
    <w:p w14:paraId="7A72AAD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.2.7投标报价超过招标文件中规定的预算金额或者最高限价的</w:t>
      </w:r>
      <w:r>
        <w:rPr>
          <w:rFonts w:hint="eastAsia" w:ascii="宋体" w:hAnsi="宋体" w:cs="宋体"/>
          <w:kern w:val="0"/>
          <w:sz w:val="24"/>
          <w:lang w:eastAsia="zh-CN"/>
        </w:rPr>
        <w:t>；</w:t>
      </w:r>
    </w:p>
    <w:p w14:paraId="6F26FE3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.2.8报价明显低于其他通过符合性审查</w:t>
      </w:r>
      <w:r>
        <w:rPr>
          <w:rFonts w:hint="eastAsia" w:ascii="宋体" w:hAnsi="宋体" w:cs="宋体"/>
          <w:kern w:val="0"/>
          <w:sz w:val="24"/>
          <w:lang w:eastAsia="zh-CN"/>
        </w:rPr>
        <w:t>投标单位</w:t>
      </w:r>
      <w:r>
        <w:rPr>
          <w:rFonts w:hint="eastAsia" w:ascii="宋体" w:hAnsi="宋体" w:eastAsia="宋体" w:cs="宋体"/>
          <w:kern w:val="0"/>
          <w:sz w:val="24"/>
        </w:rPr>
        <w:t>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6EEDBFA5">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2.9</w:t>
      </w:r>
      <w:r>
        <w:rPr>
          <w:rFonts w:hint="eastAsia" w:ascii="宋体" w:hAnsi="宋体" w:cs="宋体"/>
          <w:kern w:val="0"/>
          <w:sz w:val="24"/>
          <w:lang w:eastAsia="zh-CN"/>
        </w:rPr>
        <w:t>投标单位</w:t>
      </w:r>
      <w:r>
        <w:rPr>
          <w:rFonts w:hint="eastAsia" w:ascii="宋体" w:hAnsi="宋体" w:eastAsia="宋体" w:cs="宋体"/>
          <w:kern w:val="0"/>
          <w:sz w:val="24"/>
        </w:rPr>
        <w:t>对根据修正原则修正后的报价不确认的；</w:t>
      </w:r>
    </w:p>
    <w:p w14:paraId="515F50F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.2.10</w:t>
      </w:r>
      <w:r>
        <w:rPr>
          <w:rFonts w:hint="eastAsia" w:ascii="宋体" w:hAnsi="宋体" w:cs="宋体"/>
          <w:kern w:val="0"/>
          <w:sz w:val="24"/>
          <w:lang w:eastAsia="zh-CN"/>
        </w:rPr>
        <w:t>投标单位</w:t>
      </w:r>
      <w:r>
        <w:rPr>
          <w:rFonts w:hint="eastAsia" w:ascii="宋体" w:hAnsi="宋体" w:eastAsia="宋体" w:cs="宋体"/>
          <w:kern w:val="0"/>
          <w:sz w:val="24"/>
        </w:rPr>
        <w:t>提供虚假材料投标的；</w:t>
      </w:r>
    </w:p>
    <w:p w14:paraId="23C40DA8">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en-US" w:eastAsia="zh-CN"/>
        </w:rPr>
        <w:t>6</w:t>
      </w:r>
      <w:r>
        <w:rPr>
          <w:rFonts w:hint="eastAsia" w:ascii="宋体" w:hAnsi="宋体" w:eastAsia="宋体" w:cs="宋体"/>
          <w:kern w:val="0"/>
          <w:sz w:val="24"/>
        </w:rPr>
        <w:t>.2.11</w:t>
      </w:r>
      <w:r>
        <w:rPr>
          <w:rFonts w:hint="eastAsia" w:ascii="宋体" w:hAnsi="宋体" w:cs="宋体"/>
          <w:kern w:val="0"/>
          <w:sz w:val="24"/>
          <w:lang w:eastAsia="zh-CN"/>
        </w:rPr>
        <w:t>投标单位</w:t>
      </w:r>
      <w:r>
        <w:rPr>
          <w:rFonts w:hint="eastAsia" w:ascii="宋体" w:hAnsi="宋体" w:eastAsia="宋体" w:cs="宋体"/>
          <w:kern w:val="0"/>
          <w:sz w:val="24"/>
        </w:rPr>
        <w:t>有恶意串通、妨碍其他</w:t>
      </w:r>
      <w:r>
        <w:rPr>
          <w:rFonts w:hint="eastAsia" w:ascii="宋体" w:hAnsi="宋体" w:cs="宋体"/>
          <w:kern w:val="0"/>
          <w:sz w:val="24"/>
          <w:lang w:eastAsia="zh-CN"/>
        </w:rPr>
        <w:t>投标单位</w:t>
      </w:r>
      <w:r>
        <w:rPr>
          <w:rFonts w:hint="eastAsia" w:ascii="宋体" w:hAnsi="宋体" w:eastAsia="宋体" w:cs="宋体"/>
          <w:kern w:val="0"/>
          <w:sz w:val="24"/>
        </w:rPr>
        <w:t>的竞争行为、损害</w:t>
      </w:r>
      <w:r>
        <w:rPr>
          <w:rFonts w:hint="eastAsia" w:ascii="宋体" w:hAnsi="宋体" w:cs="宋体"/>
          <w:kern w:val="0"/>
          <w:sz w:val="24"/>
          <w:lang w:eastAsia="zh-CN"/>
        </w:rPr>
        <w:t>采购单位</w:t>
      </w:r>
      <w:r>
        <w:rPr>
          <w:rFonts w:hint="eastAsia" w:ascii="宋体" w:hAnsi="宋体" w:eastAsia="宋体" w:cs="宋体"/>
          <w:kern w:val="0"/>
          <w:sz w:val="24"/>
        </w:rPr>
        <w:t>或者其他</w:t>
      </w:r>
      <w:r>
        <w:rPr>
          <w:rFonts w:hint="eastAsia" w:ascii="宋体" w:hAnsi="宋体" w:cs="宋体"/>
          <w:kern w:val="0"/>
          <w:sz w:val="24"/>
          <w:lang w:eastAsia="zh-CN"/>
        </w:rPr>
        <w:t>投标单位</w:t>
      </w:r>
      <w:r>
        <w:rPr>
          <w:rFonts w:hint="eastAsia" w:ascii="宋体" w:hAnsi="宋体" w:eastAsia="宋体" w:cs="宋体"/>
          <w:kern w:val="0"/>
          <w:sz w:val="24"/>
        </w:rPr>
        <w:t>的合法权益情形的；</w:t>
      </w:r>
    </w:p>
    <w:p w14:paraId="3704CD3F">
      <w:pPr>
        <w:pStyle w:val="4"/>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6</w:t>
      </w:r>
      <w:r>
        <w:rPr>
          <w:rFonts w:hint="eastAsia" w:ascii="宋体" w:hAnsi="宋体" w:eastAsia="宋体" w:cs="宋体"/>
          <w:b w:val="0"/>
          <w:bCs w:val="0"/>
          <w:kern w:val="0"/>
          <w:sz w:val="24"/>
          <w:szCs w:val="24"/>
          <w:lang w:val="en-US"/>
        </w:rPr>
        <w:t>.2.1</w:t>
      </w: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lang w:val="en-US"/>
        </w:rPr>
        <w:t xml:space="preserve"> 投标文件不满足招标文件</w:t>
      </w:r>
      <w:r>
        <w:rPr>
          <w:rFonts w:hint="eastAsia" w:ascii="宋体" w:hAnsi="宋体" w:eastAsia="宋体" w:cs="宋体"/>
          <w:b w:val="0"/>
          <w:bCs w:val="0"/>
          <w:kern w:val="0"/>
          <w:sz w:val="24"/>
          <w:szCs w:val="24"/>
          <w:lang w:val="en-US" w:eastAsia="zh-CN"/>
        </w:rPr>
        <w:t>的其他</w:t>
      </w:r>
      <w:r>
        <w:rPr>
          <w:rFonts w:hint="eastAsia" w:ascii="宋体" w:hAnsi="宋体" w:eastAsia="宋体" w:cs="宋体"/>
          <w:b w:val="0"/>
          <w:bCs w:val="0"/>
          <w:kern w:val="0"/>
          <w:sz w:val="24"/>
          <w:szCs w:val="24"/>
          <w:lang w:val="en-US"/>
        </w:rPr>
        <w:t>实质性要求的；</w:t>
      </w:r>
    </w:p>
    <w:p w14:paraId="369A10F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lang w:val="en-US" w:eastAsia="zh-CN"/>
        </w:rPr>
        <w:t>6</w:t>
      </w:r>
      <w:r>
        <w:rPr>
          <w:rFonts w:hint="eastAsia" w:ascii="宋体" w:hAnsi="宋体" w:eastAsia="宋体" w:cs="宋体"/>
          <w:kern w:val="0"/>
          <w:sz w:val="24"/>
        </w:rPr>
        <w:t>.2.1</w:t>
      </w:r>
      <w:r>
        <w:rPr>
          <w:rFonts w:hint="eastAsia" w:ascii="宋体" w:hAnsi="宋体" w:eastAsia="宋体" w:cs="宋体"/>
          <w:kern w:val="0"/>
          <w:sz w:val="24"/>
          <w:lang w:val="en-US" w:eastAsia="zh-CN"/>
        </w:rPr>
        <w:t>3</w:t>
      </w:r>
      <w:r>
        <w:rPr>
          <w:rFonts w:hint="eastAsia" w:ascii="宋体" w:hAnsi="宋体" w:cs="宋体"/>
          <w:kern w:val="0"/>
          <w:sz w:val="24"/>
          <w:lang w:val="en-US" w:eastAsia="zh-CN"/>
        </w:rPr>
        <w:t>法律法规</w:t>
      </w:r>
      <w:r>
        <w:rPr>
          <w:rFonts w:hint="eastAsia" w:ascii="宋体" w:hAnsi="宋体" w:eastAsia="宋体" w:cs="宋体"/>
          <w:kern w:val="0"/>
          <w:sz w:val="24"/>
        </w:rPr>
        <w:t>、规章（适用本市的）及省级以上规范性文件（适用本市的）规定的其他无效情形。</w:t>
      </w:r>
    </w:p>
    <w:p w14:paraId="36276FFE">
      <w:pPr>
        <w:pStyle w:val="30"/>
        <w:snapToGrid w:val="0"/>
        <w:spacing w:line="360" w:lineRule="auto"/>
        <w:ind w:firstLine="472" w:firstLineChars="196"/>
        <w:rPr>
          <w:rFonts w:hint="eastAsia" w:ascii="宋体" w:hAnsi="宋体" w:eastAsia="宋体" w:cs="宋体"/>
        </w:rPr>
      </w:pPr>
      <w:r>
        <w:rPr>
          <w:rFonts w:hint="eastAsia" w:ascii="宋体" w:hAnsi="宋体" w:eastAsia="宋体" w:cs="宋体"/>
          <w:b/>
          <w:lang w:val="en-US" w:eastAsia="zh-CN"/>
        </w:rPr>
        <w:t>6.3</w:t>
      </w:r>
      <w:r>
        <w:rPr>
          <w:rFonts w:hint="eastAsia" w:ascii="宋体" w:hAnsi="宋体" w:eastAsia="宋体" w:cs="宋体"/>
          <w:b/>
        </w:rPr>
        <w:t>.废标。</w:t>
      </w:r>
      <w:r>
        <w:rPr>
          <w:rFonts w:hint="eastAsia" w:ascii="宋体" w:hAnsi="宋体" w:eastAsia="宋体" w:cs="宋体"/>
        </w:rPr>
        <w:t>根据《中华人民共和国政府采购法》第三十六条之规定，在采购中，出现下列情形之一的，应予废标：</w:t>
      </w:r>
    </w:p>
    <w:p w14:paraId="77B9D91A">
      <w:pPr>
        <w:pStyle w:val="30"/>
        <w:snapToGrid w:val="0"/>
        <w:spacing w:line="360" w:lineRule="auto"/>
        <w:rPr>
          <w:rFonts w:hint="eastAsia" w:ascii="宋体" w:hAnsi="宋体" w:eastAsia="宋体" w:cs="宋体"/>
        </w:rPr>
      </w:pPr>
      <w:r>
        <w:rPr>
          <w:rFonts w:hint="eastAsia" w:ascii="宋体" w:hAnsi="宋体" w:eastAsia="宋体" w:cs="宋体"/>
          <w:lang w:val="en-US" w:eastAsia="zh-CN"/>
        </w:rPr>
        <w:t>6.3.</w:t>
      </w:r>
      <w:r>
        <w:rPr>
          <w:rFonts w:hint="eastAsia" w:ascii="宋体" w:hAnsi="宋体" w:eastAsia="宋体" w:cs="宋体"/>
        </w:rPr>
        <w:t>1符合专业条件的</w:t>
      </w:r>
      <w:r>
        <w:rPr>
          <w:rFonts w:hint="eastAsia" w:ascii="宋体" w:hAnsi="宋体" w:cs="宋体"/>
          <w:color w:val="auto"/>
          <w:kern w:val="0"/>
          <w:sz w:val="24"/>
          <w:highlight w:val="none"/>
          <w:lang w:val="en-US" w:eastAsia="zh-CN"/>
        </w:rPr>
        <w:t>投标单位</w:t>
      </w:r>
      <w:r>
        <w:rPr>
          <w:rFonts w:hint="eastAsia" w:ascii="宋体" w:hAnsi="宋体" w:eastAsia="宋体" w:cs="宋体"/>
        </w:rPr>
        <w:t>或者对招标文件作实质响应的供应商不足3家的；</w:t>
      </w:r>
    </w:p>
    <w:p w14:paraId="4ED28322">
      <w:pPr>
        <w:pStyle w:val="30"/>
        <w:snapToGrid w:val="0"/>
        <w:spacing w:line="360" w:lineRule="auto"/>
        <w:rPr>
          <w:rFonts w:hint="eastAsia" w:ascii="宋体" w:hAnsi="宋体" w:eastAsia="宋体" w:cs="宋体"/>
        </w:rPr>
      </w:pPr>
      <w:r>
        <w:rPr>
          <w:rFonts w:hint="eastAsia" w:ascii="宋体" w:hAnsi="宋体" w:eastAsia="宋体" w:cs="宋体"/>
          <w:lang w:val="en-US" w:eastAsia="zh-CN"/>
        </w:rPr>
        <w:t>6.3.</w:t>
      </w:r>
      <w:r>
        <w:rPr>
          <w:rFonts w:hint="eastAsia" w:ascii="宋体" w:hAnsi="宋体" w:eastAsia="宋体" w:cs="宋体"/>
        </w:rPr>
        <w:t>2出现影响采购公正的违法、违规行为的；</w:t>
      </w:r>
    </w:p>
    <w:p w14:paraId="2A9846C5">
      <w:pPr>
        <w:pStyle w:val="30"/>
        <w:snapToGrid w:val="0"/>
        <w:spacing w:line="360" w:lineRule="auto"/>
        <w:rPr>
          <w:rFonts w:hint="eastAsia" w:ascii="宋体" w:hAnsi="宋体" w:eastAsia="宋体" w:cs="宋体"/>
        </w:rPr>
      </w:pPr>
      <w:r>
        <w:rPr>
          <w:rFonts w:hint="eastAsia" w:ascii="宋体" w:hAnsi="宋体" w:eastAsia="宋体" w:cs="宋体"/>
          <w:lang w:val="en-US" w:eastAsia="zh-CN"/>
        </w:rPr>
        <w:t>6.3.</w:t>
      </w:r>
      <w:r>
        <w:rPr>
          <w:rFonts w:hint="eastAsia" w:ascii="宋体" w:hAnsi="宋体" w:eastAsia="宋体" w:cs="宋体"/>
        </w:rPr>
        <w:t>3</w:t>
      </w:r>
      <w:r>
        <w:rPr>
          <w:rFonts w:hint="eastAsia" w:cs="宋体"/>
          <w:lang w:eastAsia="zh-CN"/>
        </w:rPr>
        <w:t>投标单位</w:t>
      </w:r>
      <w:r>
        <w:rPr>
          <w:rFonts w:hint="eastAsia" w:ascii="宋体" w:hAnsi="宋体" w:eastAsia="宋体" w:cs="宋体"/>
        </w:rPr>
        <w:t>的报价均超过了采购预算，</w:t>
      </w:r>
      <w:r>
        <w:rPr>
          <w:rFonts w:hint="eastAsia" w:cs="宋体"/>
          <w:lang w:eastAsia="zh-CN"/>
        </w:rPr>
        <w:t>采购单位</w:t>
      </w:r>
      <w:r>
        <w:rPr>
          <w:rFonts w:hint="eastAsia" w:ascii="宋体" w:hAnsi="宋体" w:eastAsia="宋体" w:cs="宋体"/>
        </w:rPr>
        <w:t>不能支付的；</w:t>
      </w:r>
    </w:p>
    <w:p w14:paraId="26B03C55">
      <w:pPr>
        <w:pStyle w:val="30"/>
        <w:snapToGrid w:val="0"/>
        <w:spacing w:line="360" w:lineRule="auto"/>
        <w:rPr>
          <w:rFonts w:hint="eastAsia" w:ascii="宋体" w:hAnsi="宋体" w:eastAsia="宋体" w:cs="宋体"/>
        </w:rPr>
      </w:pPr>
      <w:r>
        <w:rPr>
          <w:rFonts w:hint="eastAsia" w:ascii="宋体" w:hAnsi="宋体" w:eastAsia="宋体" w:cs="宋体"/>
          <w:lang w:val="en-US" w:eastAsia="zh-CN"/>
        </w:rPr>
        <w:t>6.3.</w:t>
      </w:r>
      <w:r>
        <w:rPr>
          <w:rFonts w:hint="eastAsia" w:ascii="宋体" w:hAnsi="宋体" w:eastAsia="宋体" w:cs="宋体"/>
        </w:rPr>
        <w:t>4因重大变故，采购任务取消的。</w:t>
      </w:r>
    </w:p>
    <w:p w14:paraId="1AD70089">
      <w:pPr>
        <w:pStyle w:val="30"/>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w:t>
      </w:r>
      <w:r>
        <w:rPr>
          <w:rFonts w:hint="eastAsia" w:cs="宋体"/>
          <w:lang w:eastAsia="zh-CN"/>
        </w:rPr>
        <w:t>投标单位</w:t>
      </w:r>
      <w:r>
        <w:rPr>
          <w:rFonts w:hint="eastAsia" w:ascii="宋体" w:hAnsi="宋体" w:eastAsia="宋体" w:cs="宋体"/>
        </w:rPr>
        <w:t>。</w:t>
      </w:r>
    </w:p>
    <w:p w14:paraId="32E7570B">
      <w:pPr>
        <w:pStyle w:val="30"/>
        <w:snapToGrid w:val="0"/>
        <w:spacing w:line="360" w:lineRule="auto"/>
        <w:ind w:firstLine="590" w:firstLineChars="245"/>
        <w:rPr>
          <w:rFonts w:hint="eastAsia" w:ascii="宋体" w:hAnsi="宋体" w:eastAsia="宋体" w:cs="宋体"/>
        </w:rPr>
      </w:pPr>
      <w:r>
        <w:rPr>
          <w:rFonts w:hint="eastAsia" w:ascii="宋体" w:hAnsi="宋体" w:eastAsia="宋体" w:cs="宋体"/>
          <w:b/>
          <w:lang w:val="en-US" w:eastAsia="zh-CN"/>
        </w:rPr>
        <w:t>7</w:t>
      </w:r>
      <w:r>
        <w:rPr>
          <w:rFonts w:hint="eastAsia" w:ascii="宋体" w:hAnsi="宋体" w:eastAsia="宋体" w:cs="宋体"/>
          <w:b/>
        </w:rPr>
        <w:t>.修改招标文件，重新组织采购活动。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w:t>
      </w:r>
      <w:r>
        <w:rPr>
          <w:rFonts w:hint="eastAsia" w:cs="宋体"/>
          <w:lang w:eastAsia="zh-CN"/>
        </w:rPr>
        <w:t>采购单位</w:t>
      </w:r>
      <w:r>
        <w:rPr>
          <w:rFonts w:hint="eastAsia" w:ascii="宋体" w:hAnsi="宋体" w:eastAsia="宋体" w:cs="宋体"/>
        </w:rPr>
        <w:t>、采购机构沟通并</w:t>
      </w:r>
      <w:r>
        <w:rPr>
          <w:rFonts w:hint="eastAsia" w:cs="宋体"/>
          <w:lang w:eastAsia="zh-CN"/>
        </w:rPr>
        <w:t>做</w:t>
      </w:r>
      <w:r>
        <w:rPr>
          <w:rFonts w:hint="eastAsia" w:ascii="宋体" w:hAnsi="宋体" w:eastAsia="宋体" w:cs="宋体"/>
        </w:rPr>
        <w:t>书面记录。</w:t>
      </w:r>
      <w:r>
        <w:rPr>
          <w:rFonts w:hint="eastAsia" w:cs="宋体"/>
          <w:lang w:eastAsia="zh-CN"/>
        </w:rPr>
        <w:t>采购单位</w:t>
      </w:r>
      <w:r>
        <w:rPr>
          <w:rFonts w:hint="eastAsia" w:ascii="宋体" w:hAnsi="宋体" w:eastAsia="宋体" w:cs="宋体"/>
        </w:rPr>
        <w:t>、采购机构确认后，将修改招标文件，重新组织采购活动。</w:t>
      </w:r>
    </w:p>
    <w:p w14:paraId="7FA527FA">
      <w:pPr>
        <w:pStyle w:val="30"/>
        <w:snapToGrid w:val="0"/>
        <w:spacing w:line="360" w:lineRule="auto"/>
        <w:ind w:firstLine="590" w:firstLineChars="245"/>
        <w:rPr>
          <w:rFonts w:hint="eastAsia" w:ascii="宋体" w:hAnsi="宋体" w:eastAsia="宋体" w:cs="宋体"/>
        </w:rPr>
      </w:pPr>
      <w:r>
        <w:rPr>
          <w:rFonts w:hint="eastAsia" w:ascii="宋体" w:hAnsi="宋体" w:eastAsia="宋体" w:cs="宋体"/>
          <w:b/>
          <w:kern w:val="0"/>
          <w:lang w:val="en-US" w:eastAsia="zh-CN"/>
        </w:rPr>
        <w:t>8</w:t>
      </w:r>
      <w:r>
        <w:rPr>
          <w:rFonts w:hint="eastAsia" w:ascii="宋体" w:hAnsi="宋体" w:eastAsia="宋体" w:cs="宋体"/>
          <w:b/>
          <w:kern w:val="0"/>
        </w:rPr>
        <w:t>.重新开展采购。</w:t>
      </w:r>
      <w:r>
        <w:rPr>
          <w:rFonts w:hint="eastAsia" w:ascii="宋体" w:hAnsi="宋体" w:eastAsia="宋体" w:cs="宋体"/>
        </w:rPr>
        <w:t>有采购法第七十一条、第七十二条规定的违法行为之一，影响或者可能影响中标、成交结果的，依照下列规定处理：</w:t>
      </w:r>
    </w:p>
    <w:p w14:paraId="21CC8322">
      <w:pPr>
        <w:pStyle w:val="30"/>
        <w:snapToGrid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.1未确定中标或者</w:t>
      </w:r>
      <w:r>
        <w:rPr>
          <w:rFonts w:hint="eastAsia" w:cs="宋体"/>
          <w:lang w:eastAsia="zh-CN"/>
        </w:rPr>
        <w:t>中标单位</w:t>
      </w:r>
      <w:r>
        <w:rPr>
          <w:rFonts w:hint="eastAsia" w:ascii="宋体" w:hAnsi="宋体" w:eastAsia="宋体" w:cs="宋体"/>
        </w:rPr>
        <w:t>的，终止本次采购活动，重新开展采购活动。</w:t>
      </w:r>
    </w:p>
    <w:p w14:paraId="41A3AAAF">
      <w:pPr>
        <w:pStyle w:val="30"/>
        <w:snapToGrid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.2已确定中标或者</w:t>
      </w:r>
      <w:r>
        <w:rPr>
          <w:rFonts w:hint="eastAsia" w:cs="宋体"/>
          <w:lang w:eastAsia="zh-CN"/>
        </w:rPr>
        <w:t>中标单位</w:t>
      </w:r>
      <w:r>
        <w:rPr>
          <w:rFonts w:hint="eastAsia" w:ascii="宋体" w:hAnsi="宋体" w:eastAsia="宋体" w:cs="宋体"/>
        </w:rPr>
        <w:t>但尚未签订采购合同的，中标或者成交结果无效，从合格的中标或者成交候选人中另行确定中标或者</w:t>
      </w:r>
      <w:r>
        <w:rPr>
          <w:rFonts w:hint="eastAsia" w:cs="宋体"/>
          <w:lang w:eastAsia="zh-CN"/>
        </w:rPr>
        <w:t>中标单位</w:t>
      </w:r>
      <w:r>
        <w:rPr>
          <w:rFonts w:hint="eastAsia" w:ascii="宋体" w:hAnsi="宋体" w:eastAsia="宋体" w:cs="宋体"/>
        </w:rPr>
        <w:t>；没有合格的中标或者成交候选人的，重新开展采购活动。</w:t>
      </w:r>
    </w:p>
    <w:p w14:paraId="727B29D7">
      <w:pPr>
        <w:pStyle w:val="30"/>
        <w:snapToGrid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.3采购合同已签订但尚未履行的，撤销合同，从合格的中标或者成交候选人中另行确定中标或者</w:t>
      </w:r>
      <w:r>
        <w:rPr>
          <w:rFonts w:hint="eastAsia" w:cs="宋体"/>
          <w:lang w:eastAsia="zh-CN"/>
        </w:rPr>
        <w:t>中标单位</w:t>
      </w:r>
      <w:r>
        <w:rPr>
          <w:rFonts w:hint="eastAsia" w:ascii="宋体" w:hAnsi="宋体" w:eastAsia="宋体" w:cs="宋体"/>
        </w:rPr>
        <w:t>；没有合格的中标或者成交候选人的，重新开展采购活动。</w:t>
      </w:r>
    </w:p>
    <w:p w14:paraId="1538B630">
      <w:pPr>
        <w:pStyle w:val="30"/>
        <w:snapToGrid w:val="0"/>
        <w:spacing w:line="360" w:lineRule="auto"/>
        <w:ind w:left="0" w:leftChars="0" w:firstLine="480" w:firstLineChars="200"/>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w:t>
      </w:r>
      <w:r>
        <w:rPr>
          <w:rFonts w:hint="eastAsia" w:ascii="宋体" w:hAnsi="宋体" w:eastAsia="宋体" w:cs="宋体"/>
          <w:lang w:val="en-US" w:eastAsia="zh-CN"/>
        </w:rPr>
        <w:t>4</w:t>
      </w:r>
      <w:r>
        <w:rPr>
          <w:rFonts w:hint="eastAsia" w:ascii="宋体" w:hAnsi="宋体" w:eastAsia="宋体" w:cs="宋体"/>
        </w:rPr>
        <w:t>采购合同已经履行，给</w:t>
      </w:r>
      <w:r>
        <w:rPr>
          <w:rFonts w:hint="eastAsia" w:cs="宋体"/>
          <w:lang w:eastAsia="zh-CN"/>
        </w:rPr>
        <w:t>采购单位</w:t>
      </w:r>
      <w:r>
        <w:rPr>
          <w:rFonts w:hint="eastAsia" w:ascii="宋体" w:hAnsi="宋体" w:eastAsia="宋体" w:cs="宋体"/>
        </w:rPr>
        <w:t>、</w:t>
      </w:r>
      <w:r>
        <w:rPr>
          <w:rFonts w:hint="eastAsia" w:cs="宋体"/>
          <w:color w:val="auto"/>
          <w:kern w:val="0"/>
          <w:sz w:val="24"/>
          <w:highlight w:val="none"/>
          <w:lang w:val="en-US" w:eastAsia="zh-CN"/>
        </w:rPr>
        <w:t>中标</w:t>
      </w:r>
      <w:r>
        <w:rPr>
          <w:rFonts w:hint="eastAsia" w:ascii="宋体" w:hAnsi="宋体" w:cs="宋体"/>
          <w:color w:val="auto"/>
          <w:kern w:val="0"/>
          <w:sz w:val="24"/>
          <w:highlight w:val="none"/>
          <w:lang w:val="en-US" w:eastAsia="zh-CN"/>
        </w:rPr>
        <w:t>单位</w:t>
      </w:r>
      <w:r>
        <w:rPr>
          <w:rFonts w:hint="eastAsia" w:ascii="宋体" w:hAnsi="宋体" w:eastAsia="宋体" w:cs="宋体"/>
        </w:rPr>
        <w:t>造成损失的，由责任人承担赔偿责任。</w:t>
      </w:r>
    </w:p>
    <w:p w14:paraId="0C76AA0C">
      <w:pPr>
        <w:pStyle w:val="30"/>
        <w:snapToGrid w:val="0"/>
        <w:spacing w:line="360" w:lineRule="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.5采购当事人有其他违反采购法</w:t>
      </w:r>
      <w:r>
        <w:rPr>
          <w:rFonts w:hint="eastAsia" w:ascii="宋体" w:hAnsi="宋体" w:eastAsia="宋体" w:cs="宋体"/>
          <w:kern w:val="0"/>
        </w:rPr>
        <w:t>或者采购法实施条例等法律法规规定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p>
    <w:p w14:paraId="06EE476C">
      <w:pPr>
        <w:pStyle w:val="30"/>
        <w:snapToGrid w:val="0"/>
        <w:spacing w:line="360" w:lineRule="auto"/>
        <w:ind w:firstLine="0" w:firstLineChars="0"/>
        <w:rPr>
          <w:rFonts w:hint="eastAsia" w:ascii="宋体" w:hAnsi="宋体" w:eastAsia="宋体" w:cs="宋体"/>
        </w:rPr>
      </w:pPr>
    </w:p>
    <w:bookmarkEnd w:id="23"/>
    <w:p w14:paraId="633A4218">
      <w:pPr>
        <w:spacing w:line="360" w:lineRule="auto"/>
        <w:ind w:left="720" w:leftChars="343" w:firstLine="1084" w:firstLineChars="300"/>
        <w:outlineLvl w:val="0"/>
        <w:rPr>
          <w:rFonts w:hint="eastAsia" w:ascii="宋体" w:hAnsi="宋体" w:eastAsia="宋体" w:cs="宋体"/>
          <w:b/>
          <w:sz w:val="36"/>
          <w:szCs w:val="36"/>
        </w:rPr>
      </w:pPr>
      <w:bookmarkStart w:id="394" w:name="第五部分"/>
      <w:bookmarkStart w:id="395" w:name="_Toc86217003"/>
    </w:p>
    <w:p w14:paraId="0D8888F1">
      <w:pPr>
        <w:spacing w:line="360" w:lineRule="auto"/>
        <w:ind w:left="720" w:leftChars="343" w:firstLine="1084" w:firstLineChars="300"/>
        <w:outlineLvl w:val="0"/>
        <w:rPr>
          <w:rFonts w:hint="eastAsia" w:ascii="宋体" w:hAnsi="宋体" w:eastAsia="宋体" w:cs="宋体"/>
          <w:b/>
          <w:sz w:val="36"/>
          <w:szCs w:val="36"/>
        </w:rPr>
      </w:pPr>
      <w:r>
        <w:rPr>
          <w:rFonts w:hint="eastAsia" w:ascii="宋体" w:hAnsi="宋体" w:eastAsia="宋体" w:cs="宋体"/>
          <w:b/>
          <w:sz w:val="36"/>
          <w:szCs w:val="36"/>
        </w:rPr>
        <w:t xml:space="preserve">    </w:t>
      </w:r>
    </w:p>
    <w:p w14:paraId="042B856A">
      <w:pPr>
        <w:spacing w:line="360" w:lineRule="auto"/>
        <w:ind w:left="720" w:leftChars="343" w:firstLine="1084" w:firstLineChars="300"/>
        <w:outlineLvl w:val="0"/>
        <w:rPr>
          <w:rFonts w:hint="eastAsia" w:ascii="宋体" w:hAnsi="宋体" w:eastAsia="宋体" w:cs="宋体"/>
          <w:b/>
          <w:sz w:val="36"/>
          <w:szCs w:val="36"/>
        </w:rPr>
      </w:pPr>
    </w:p>
    <w:p w14:paraId="6AD96A74">
      <w:pPr>
        <w:spacing w:line="360" w:lineRule="auto"/>
        <w:ind w:left="720" w:leftChars="343" w:firstLine="1084" w:firstLineChars="300"/>
        <w:outlineLvl w:val="0"/>
        <w:rPr>
          <w:rFonts w:hint="eastAsia" w:ascii="宋体" w:hAnsi="宋体" w:eastAsia="宋体" w:cs="宋体"/>
          <w:b/>
          <w:sz w:val="36"/>
          <w:szCs w:val="36"/>
        </w:rPr>
      </w:pPr>
    </w:p>
    <w:p w14:paraId="550B7FCE">
      <w:pPr>
        <w:pStyle w:val="85"/>
        <w:rPr>
          <w:rFonts w:hint="eastAsia" w:ascii="宋体" w:hAnsi="宋体" w:eastAsia="宋体" w:cs="宋体"/>
          <w:b/>
          <w:sz w:val="36"/>
          <w:szCs w:val="36"/>
        </w:rPr>
      </w:pPr>
    </w:p>
    <w:p w14:paraId="2EA18ABD">
      <w:pPr>
        <w:pStyle w:val="85"/>
        <w:rPr>
          <w:rFonts w:hint="eastAsia" w:ascii="宋体" w:hAnsi="宋体" w:eastAsia="宋体" w:cs="宋体"/>
          <w:b/>
          <w:sz w:val="36"/>
          <w:szCs w:val="36"/>
        </w:rPr>
      </w:pPr>
    </w:p>
    <w:p w14:paraId="4DC4B944">
      <w:pPr>
        <w:pStyle w:val="85"/>
        <w:rPr>
          <w:rFonts w:hint="eastAsia" w:ascii="宋体" w:hAnsi="宋体" w:eastAsia="宋体" w:cs="宋体"/>
          <w:b/>
          <w:sz w:val="36"/>
          <w:szCs w:val="36"/>
        </w:rPr>
      </w:pPr>
    </w:p>
    <w:p w14:paraId="6E756AB9">
      <w:pPr>
        <w:pStyle w:val="85"/>
        <w:rPr>
          <w:rFonts w:hint="eastAsia" w:ascii="宋体" w:hAnsi="宋体" w:eastAsia="宋体" w:cs="宋体"/>
          <w:b/>
          <w:sz w:val="36"/>
          <w:szCs w:val="36"/>
        </w:rPr>
      </w:pPr>
    </w:p>
    <w:p w14:paraId="20B80103">
      <w:pPr>
        <w:pStyle w:val="85"/>
        <w:rPr>
          <w:rFonts w:hint="eastAsia" w:ascii="宋体" w:hAnsi="宋体" w:eastAsia="宋体" w:cs="宋体"/>
          <w:b/>
          <w:sz w:val="36"/>
          <w:szCs w:val="36"/>
        </w:rPr>
      </w:pPr>
    </w:p>
    <w:p w14:paraId="1EF8AEEA">
      <w:pPr>
        <w:pStyle w:val="85"/>
        <w:rPr>
          <w:rFonts w:hint="eastAsia" w:ascii="宋体" w:hAnsi="宋体" w:eastAsia="宋体" w:cs="宋体"/>
          <w:b/>
          <w:sz w:val="36"/>
          <w:szCs w:val="36"/>
        </w:rPr>
      </w:pPr>
    </w:p>
    <w:p w14:paraId="15B1B641">
      <w:pPr>
        <w:pStyle w:val="85"/>
        <w:rPr>
          <w:rFonts w:hint="eastAsia" w:ascii="宋体" w:hAnsi="宋体" w:eastAsia="宋体" w:cs="宋体"/>
          <w:b/>
          <w:sz w:val="36"/>
          <w:szCs w:val="36"/>
        </w:rPr>
      </w:pPr>
    </w:p>
    <w:p w14:paraId="06BBEDA9">
      <w:pPr>
        <w:pStyle w:val="85"/>
        <w:rPr>
          <w:rFonts w:hint="eastAsia" w:ascii="宋体" w:hAnsi="宋体" w:eastAsia="宋体" w:cs="宋体"/>
          <w:b/>
          <w:sz w:val="36"/>
          <w:szCs w:val="36"/>
        </w:rPr>
      </w:pPr>
    </w:p>
    <w:p w14:paraId="132A0A34">
      <w:pPr>
        <w:pStyle w:val="85"/>
        <w:rPr>
          <w:rFonts w:hint="eastAsia" w:ascii="宋体" w:hAnsi="宋体" w:eastAsia="宋体" w:cs="宋体"/>
          <w:b/>
          <w:sz w:val="36"/>
          <w:szCs w:val="36"/>
        </w:rPr>
      </w:pPr>
    </w:p>
    <w:p w14:paraId="6AD100DA">
      <w:pPr>
        <w:pStyle w:val="85"/>
        <w:rPr>
          <w:rFonts w:hint="eastAsia" w:ascii="宋体" w:hAnsi="宋体" w:eastAsia="宋体" w:cs="宋体"/>
          <w:b/>
          <w:sz w:val="36"/>
          <w:szCs w:val="36"/>
        </w:rPr>
      </w:pPr>
    </w:p>
    <w:p w14:paraId="5E104FD2">
      <w:pPr>
        <w:pStyle w:val="85"/>
        <w:rPr>
          <w:rFonts w:hint="eastAsia" w:ascii="宋体" w:hAnsi="宋体" w:eastAsia="宋体" w:cs="宋体"/>
          <w:b/>
          <w:sz w:val="36"/>
          <w:szCs w:val="36"/>
        </w:rPr>
      </w:pPr>
    </w:p>
    <w:p w14:paraId="3899706B">
      <w:pPr>
        <w:pStyle w:val="85"/>
        <w:rPr>
          <w:rFonts w:hint="eastAsia" w:ascii="宋体" w:hAnsi="宋体" w:eastAsia="宋体" w:cs="宋体"/>
          <w:b/>
          <w:sz w:val="36"/>
          <w:szCs w:val="36"/>
        </w:rPr>
      </w:pPr>
    </w:p>
    <w:p w14:paraId="12DCC816">
      <w:pPr>
        <w:spacing w:line="360" w:lineRule="auto"/>
        <w:outlineLvl w:val="0"/>
        <w:rPr>
          <w:rFonts w:hint="eastAsia" w:ascii="宋体" w:hAnsi="宋体" w:eastAsia="宋体" w:cs="宋体"/>
          <w:b/>
          <w:sz w:val="36"/>
          <w:szCs w:val="36"/>
        </w:rPr>
      </w:pPr>
    </w:p>
    <w:p w14:paraId="63234553">
      <w:pPr>
        <w:spacing w:line="360" w:lineRule="auto"/>
        <w:ind w:left="720" w:leftChars="343" w:firstLine="1084" w:firstLineChars="300"/>
        <w:outlineLvl w:val="0"/>
        <w:rPr>
          <w:rFonts w:hint="eastAsia" w:ascii="宋体" w:hAnsi="宋体" w:eastAsia="宋体" w:cs="宋体"/>
          <w:b/>
          <w:sz w:val="36"/>
          <w:szCs w:val="36"/>
        </w:rPr>
      </w:pPr>
      <w:bookmarkStart w:id="396" w:name="_Toc331685783"/>
      <w:r>
        <w:rPr>
          <w:rFonts w:hint="eastAsia" w:ascii="宋体" w:hAnsi="宋体" w:eastAsia="宋体" w:cs="宋体"/>
          <w:b/>
          <w:sz w:val="36"/>
          <w:szCs w:val="36"/>
        </w:rPr>
        <w:t>第五部分 拟签订的合同文本</w:t>
      </w:r>
    </w:p>
    <w:p w14:paraId="1C6E2AFA">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79E9311C">
      <w:pPr>
        <w:spacing w:line="480" w:lineRule="auto"/>
        <w:jc w:val="center"/>
        <w:rPr>
          <w:rFonts w:hint="eastAsia" w:ascii="宋体" w:hAnsi="宋体" w:eastAsia="宋体" w:cs="宋体"/>
          <w:b/>
          <w:sz w:val="28"/>
          <w:szCs w:val="28"/>
        </w:rPr>
      </w:pPr>
    </w:p>
    <w:p w14:paraId="789C415D">
      <w:pPr>
        <w:spacing w:line="480" w:lineRule="auto"/>
        <w:jc w:val="center"/>
        <w:rPr>
          <w:rFonts w:hint="eastAsia" w:ascii="宋体" w:hAnsi="宋体" w:eastAsia="宋体" w:cs="宋体"/>
          <w:b/>
          <w:sz w:val="24"/>
        </w:rPr>
      </w:pPr>
    </w:p>
    <w:p w14:paraId="511FB0BF">
      <w:pPr>
        <w:spacing w:line="480" w:lineRule="auto"/>
        <w:jc w:val="center"/>
        <w:rPr>
          <w:rFonts w:hint="eastAsia" w:ascii="宋体" w:hAnsi="宋体" w:eastAsia="宋体" w:cs="宋体"/>
          <w:b/>
          <w:sz w:val="24"/>
        </w:rPr>
      </w:pPr>
    </w:p>
    <w:p w14:paraId="429ADCB3">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采购合同（</w:t>
      </w:r>
      <w:r>
        <w:rPr>
          <w:rFonts w:hint="eastAsia" w:ascii="宋体" w:hAnsi="宋体" w:cs="宋体"/>
          <w:b/>
          <w:sz w:val="36"/>
          <w:szCs w:val="36"/>
          <w:lang w:val="en-US" w:eastAsia="zh-CN"/>
        </w:rPr>
        <w:t>服务</w:t>
      </w:r>
      <w:r>
        <w:rPr>
          <w:rFonts w:hint="eastAsia" w:ascii="宋体" w:hAnsi="宋体" w:eastAsia="宋体" w:cs="宋体"/>
          <w:b/>
          <w:sz w:val="36"/>
          <w:szCs w:val="36"/>
        </w:rPr>
        <w:t>类）</w:t>
      </w:r>
    </w:p>
    <w:p w14:paraId="074F4D9D">
      <w:pPr>
        <w:pStyle w:val="701"/>
        <w:rPr>
          <w:rFonts w:hint="eastAsia" w:ascii="宋体" w:hAnsi="宋体" w:eastAsia="宋体" w:cs="宋体"/>
          <w:szCs w:val="24"/>
        </w:rPr>
      </w:pPr>
    </w:p>
    <w:p w14:paraId="12324B50">
      <w:pPr>
        <w:pStyle w:val="701"/>
        <w:rPr>
          <w:rFonts w:hint="eastAsia" w:ascii="宋体" w:hAnsi="宋体" w:eastAsia="宋体" w:cs="宋体"/>
          <w:szCs w:val="24"/>
        </w:rPr>
      </w:pPr>
    </w:p>
    <w:p w14:paraId="07A53918">
      <w:pPr>
        <w:pStyle w:val="701"/>
        <w:jc w:val="center"/>
        <w:rPr>
          <w:rFonts w:hint="eastAsia" w:ascii="宋体" w:hAnsi="宋体" w:eastAsia="宋体" w:cs="宋体"/>
          <w:szCs w:val="24"/>
        </w:rPr>
      </w:pPr>
    </w:p>
    <w:p w14:paraId="009A5717">
      <w:pPr>
        <w:pStyle w:val="701"/>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4EECB0B2">
      <w:pPr>
        <w:pStyle w:val="701"/>
        <w:rPr>
          <w:rFonts w:hint="eastAsia" w:ascii="宋体" w:hAnsi="宋体" w:eastAsia="宋体" w:cs="宋体"/>
          <w:szCs w:val="24"/>
        </w:rPr>
      </w:pPr>
    </w:p>
    <w:p w14:paraId="62E8D978">
      <w:pPr>
        <w:pStyle w:val="701"/>
        <w:rPr>
          <w:rFonts w:hint="eastAsia" w:ascii="宋体" w:hAnsi="宋体" w:eastAsia="宋体" w:cs="宋体"/>
          <w:szCs w:val="24"/>
        </w:rPr>
      </w:pPr>
    </w:p>
    <w:p w14:paraId="0580D0B4">
      <w:pPr>
        <w:pStyle w:val="30"/>
        <w:rPr>
          <w:rFonts w:hint="eastAsia" w:ascii="宋体" w:hAnsi="宋体" w:eastAsia="宋体" w:cs="宋体"/>
          <w:szCs w:val="24"/>
        </w:rPr>
      </w:pPr>
    </w:p>
    <w:p w14:paraId="2ACA852A">
      <w:pPr>
        <w:bidi w:val="0"/>
        <w:rPr>
          <w:rFonts w:hint="eastAsia"/>
        </w:rPr>
      </w:pPr>
    </w:p>
    <w:p w14:paraId="5BAE61AD">
      <w:pPr>
        <w:bidi w:val="0"/>
        <w:rPr>
          <w:rFonts w:hint="eastAsia"/>
        </w:rPr>
      </w:pPr>
    </w:p>
    <w:p w14:paraId="495BBAAF">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5F97E6EF">
      <w:pPr>
        <w:rPr>
          <w:rFonts w:hint="eastAsia" w:ascii="宋体" w:hAnsi="宋体" w:eastAsia="宋体" w:cs="宋体"/>
          <w:sz w:val="24"/>
        </w:rPr>
      </w:pPr>
    </w:p>
    <w:p w14:paraId="6E9EF347">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5D4EE088">
      <w:pPr>
        <w:spacing w:before="120" w:line="22" w:lineRule="atLeast"/>
        <w:rPr>
          <w:rFonts w:hint="eastAsia" w:ascii="宋体" w:hAnsi="宋体" w:eastAsia="宋体" w:cs="宋体"/>
          <w:sz w:val="24"/>
        </w:rPr>
      </w:pPr>
    </w:p>
    <w:p w14:paraId="54A17845">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554049CE">
      <w:pPr>
        <w:spacing w:before="120" w:line="22" w:lineRule="atLeast"/>
        <w:rPr>
          <w:rFonts w:hint="eastAsia" w:ascii="宋体" w:hAnsi="宋体" w:eastAsia="宋体" w:cs="宋体"/>
          <w:sz w:val="24"/>
        </w:rPr>
      </w:pPr>
    </w:p>
    <w:p w14:paraId="7E34A41E">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510BCBF0">
      <w:pPr>
        <w:spacing w:before="120" w:line="22" w:lineRule="atLeast"/>
        <w:rPr>
          <w:rFonts w:hint="eastAsia" w:ascii="宋体" w:hAnsi="宋体" w:eastAsia="宋体" w:cs="宋体"/>
          <w:sz w:val="24"/>
        </w:rPr>
      </w:pPr>
    </w:p>
    <w:p w14:paraId="17246C8F">
      <w:pPr>
        <w:spacing w:before="120" w:line="22" w:lineRule="atLeast"/>
        <w:ind w:firstLine="960" w:firstLineChars="400"/>
        <w:rPr>
          <w:rFonts w:hint="eastAsia" w:ascii="宋体" w:hAnsi="宋体" w:eastAsia="宋体" w:cs="宋体"/>
          <w:sz w:val="24"/>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27DF7407">
      <w:pPr>
        <w:spacing w:before="120" w:line="22" w:lineRule="atLeast"/>
        <w:ind w:firstLine="960" w:firstLineChars="400"/>
        <w:rPr>
          <w:rFonts w:hint="eastAsia" w:ascii="宋体" w:hAnsi="宋体" w:eastAsia="宋体" w:cs="宋体"/>
          <w:sz w:val="24"/>
          <w:u w:val="single"/>
          <w:lang w:val="zh-CN"/>
        </w:rPr>
      </w:pPr>
    </w:p>
    <w:p w14:paraId="752715C4">
      <w:pPr>
        <w:spacing w:before="120" w:line="22" w:lineRule="atLeast"/>
        <w:ind w:firstLine="960" w:firstLineChars="400"/>
        <w:rPr>
          <w:rFonts w:hint="eastAsia" w:ascii="宋体" w:hAnsi="宋体" w:eastAsia="宋体" w:cs="宋体"/>
          <w:sz w:val="24"/>
          <w:u w:val="single"/>
          <w:lang w:val="zh-CN"/>
        </w:rPr>
      </w:pPr>
    </w:p>
    <w:p w14:paraId="39CAE293">
      <w:pPr>
        <w:spacing w:before="120" w:line="22" w:lineRule="atLeast"/>
        <w:ind w:firstLine="960" w:firstLineChars="400"/>
        <w:rPr>
          <w:rFonts w:hint="eastAsia" w:ascii="宋体" w:hAnsi="宋体" w:eastAsia="宋体" w:cs="宋体"/>
          <w:sz w:val="24"/>
          <w:u w:val="single"/>
          <w:lang w:val="zh-CN"/>
        </w:rPr>
      </w:pPr>
    </w:p>
    <w:p w14:paraId="6EBC8FD5">
      <w:pPr>
        <w:spacing w:before="120" w:line="22" w:lineRule="atLeast"/>
        <w:ind w:firstLine="960" w:firstLineChars="400"/>
        <w:rPr>
          <w:rFonts w:hint="eastAsia" w:ascii="宋体" w:hAnsi="宋体" w:eastAsia="宋体" w:cs="宋体"/>
          <w:sz w:val="24"/>
          <w:u w:val="single"/>
          <w:lang w:val="zh-CN"/>
        </w:rPr>
      </w:pPr>
    </w:p>
    <w:p w14:paraId="19A059A6">
      <w:pPr>
        <w:keepNext w:val="0"/>
        <w:keepLines w:val="0"/>
        <w:pageBreakBefore w:val="0"/>
        <w:widowControl w:val="0"/>
        <w:kinsoku/>
        <w:wordWrap/>
        <w:overflowPunct/>
        <w:topLinePunct w:val="0"/>
        <w:autoSpaceDE/>
        <w:autoSpaceDN/>
        <w:bidi w:val="0"/>
        <w:adjustRightInd w:val="0"/>
        <w:snapToGrid/>
        <w:spacing w:before="120" w:line="432" w:lineRule="auto"/>
        <w:ind w:firstLine="960" w:firstLineChars="400"/>
        <w:textAlignment w:val="auto"/>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color w:val="FF0000"/>
          <w:sz w:val="24"/>
          <w:u w:val="single"/>
          <w:lang w:eastAsia="zh-CN"/>
        </w:rPr>
        <w:t xml:space="preserve">   </w:t>
      </w:r>
      <w:r>
        <w:rPr>
          <w:rFonts w:hint="eastAsia" w:ascii="宋体" w:hAnsi="宋体" w:cs="宋体"/>
          <w:color w:val="FF0000"/>
          <w:sz w:val="24"/>
          <w:u w:val="single"/>
          <w:lang w:eastAsia="zh-CN"/>
        </w:rPr>
        <w:t>桐庐县青少年宫</w:t>
      </w:r>
      <w:r>
        <w:rPr>
          <w:rFonts w:hint="eastAsia" w:ascii="宋体" w:hAnsi="宋体" w:eastAsia="宋体" w:cs="宋体"/>
          <w:color w:val="FF0000"/>
          <w:sz w:val="24"/>
          <w:u w:val="single"/>
          <w:lang w:eastAsia="zh-CN"/>
        </w:rPr>
        <w:t xml:space="preserve">   </w:t>
      </w:r>
      <w:r>
        <w:rPr>
          <w:rFonts w:hint="eastAsia" w:ascii="宋体" w:hAnsi="宋体" w:eastAsia="宋体" w:cs="宋体"/>
          <w:sz w:val="24"/>
        </w:rPr>
        <w:t>以</w:t>
      </w:r>
      <w:r>
        <w:rPr>
          <w:rFonts w:hint="eastAsia" w:ascii="宋体" w:hAnsi="宋体" w:eastAsia="宋体" w:cs="宋体"/>
          <w:color w:val="FF0000"/>
          <w:sz w:val="24"/>
          <w:u w:val="single"/>
          <w:lang w:eastAsia="zh-CN"/>
        </w:rPr>
        <w:t xml:space="preserve">  询价方式  </w:t>
      </w:r>
      <w:r>
        <w:rPr>
          <w:rFonts w:hint="eastAsia" w:ascii="宋体" w:hAnsi="宋体" w:eastAsia="宋体" w:cs="宋体"/>
          <w:sz w:val="24"/>
        </w:rPr>
        <w:t>对</w:t>
      </w:r>
      <w:r>
        <w:rPr>
          <w:rFonts w:hint="eastAsia" w:ascii="宋体" w:hAnsi="宋体" w:eastAsia="宋体" w:cs="宋体"/>
          <w:sz w:val="24"/>
          <w:u w:val="single"/>
        </w:rPr>
        <w:t xml:space="preserve">   </w:t>
      </w:r>
      <w:r>
        <w:rPr>
          <w:rFonts w:hint="eastAsia" w:ascii="宋体" w:hAnsi="宋体" w:eastAsia="宋体" w:cs="宋体"/>
          <w:sz w:val="22"/>
          <w:szCs w:val="22"/>
          <w:u w:val="single"/>
        </w:rPr>
        <w:t xml:space="preserve"> </w:t>
      </w:r>
      <w:r>
        <w:rPr>
          <w:rFonts w:hint="eastAsia" w:ascii="宋体" w:hAnsi="宋体" w:cs="宋体"/>
          <w:color w:val="FF0000"/>
          <w:sz w:val="24"/>
          <w:u w:val="single"/>
          <w:lang w:eastAsia="zh-CN"/>
        </w:rPr>
        <w:t>2024年桐庐县青少年宫消防维保单位采购项目</w:t>
      </w:r>
      <w:r>
        <w:rPr>
          <w:rFonts w:hint="eastAsia" w:ascii="宋体" w:hAnsi="宋体" w:cs="宋体"/>
          <w:color w:val="FF0000"/>
          <w:sz w:val="24"/>
          <w:u w:val="single"/>
          <w:lang w:val="en-US" w:eastAsia="zh-CN"/>
        </w:rPr>
        <w:t xml:space="preserve"> </w:t>
      </w:r>
      <w:r>
        <w:rPr>
          <w:rFonts w:hint="eastAsia" w:ascii="宋体" w:hAnsi="宋体" w:eastAsia="宋体" w:cs="宋体"/>
          <w:sz w:val="24"/>
        </w:rPr>
        <w:t>进行了采购。经</w:t>
      </w:r>
      <w:r>
        <w:rPr>
          <w:rFonts w:hint="eastAsia" w:ascii="宋体" w:hAnsi="宋体" w:eastAsia="宋体" w:cs="宋体"/>
          <w:sz w:val="24"/>
          <w:u w:val="single"/>
        </w:rPr>
        <w:t xml:space="preserve">   （相关评定主体名称）   </w:t>
      </w:r>
      <w:r>
        <w:rPr>
          <w:rFonts w:hint="eastAsia" w:ascii="宋体" w:hAnsi="宋体" w:eastAsia="宋体" w:cs="宋体"/>
          <w:sz w:val="24"/>
        </w:rPr>
        <w:t>评定，</w:t>
      </w:r>
      <w:r>
        <w:rPr>
          <w:rFonts w:hint="eastAsia" w:ascii="宋体" w:hAnsi="宋体" w:eastAsia="宋体" w:cs="宋体"/>
          <w:sz w:val="24"/>
          <w:u w:val="single"/>
        </w:rPr>
        <w:t xml:space="preserve">   （</w:t>
      </w:r>
      <w:r>
        <w:rPr>
          <w:rFonts w:hint="eastAsia" w:ascii="宋体" w:hAnsi="宋体" w:cs="宋体"/>
          <w:sz w:val="24"/>
          <w:u w:val="single"/>
          <w:lang w:eastAsia="zh-CN"/>
        </w:rPr>
        <w:t>中标单位</w:t>
      </w:r>
      <w:r>
        <w:rPr>
          <w:rFonts w:hint="eastAsia" w:ascii="宋体" w:hAnsi="宋体" w:eastAsia="宋体" w:cs="宋体"/>
          <w:sz w:val="24"/>
          <w:u w:val="single"/>
        </w:rPr>
        <w:t>名称）</w:t>
      </w:r>
      <w:r>
        <w:rPr>
          <w:rFonts w:hint="eastAsia" w:ascii="宋体" w:hAnsi="宋体" w:eastAsia="宋体" w:cs="宋体"/>
          <w:sz w:val="24"/>
        </w:rPr>
        <w:t>为该项目</w:t>
      </w:r>
      <w:r>
        <w:rPr>
          <w:rFonts w:hint="eastAsia" w:ascii="宋体" w:hAnsi="宋体" w:cs="宋体"/>
          <w:sz w:val="24"/>
          <w:lang w:eastAsia="zh-CN"/>
        </w:rPr>
        <w:t>中标单位</w:t>
      </w:r>
      <w:r>
        <w:rPr>
          <w:rFonts w:hint="eastAsia" w:ascii="宋体" w:hAnsi="宋体" w:eastAsia="宋体" w:cs="宋体"/>
          <w:sz w:val="24"/>
        </w:rPr>
        <w:t>。现于中标通知书发出之日起三十日内，按照采购文件确定的事项签订本合同。</w:t>
      </w:r>
    </w:p>
    <w:p w14:paraId="72B2A6AA">
      <w:pPr>
        <w:keepNext w:val="0"/>
        <w:keepLines w:val="0"/>
        <w:pageBreakBefore w:val="0"/>
        <w:widowControl w:val="0"/>
        <w:kinsoku/>
        <w:wordWrap/>
        <w:overflowPunct/>
        <w:topLinePunct w:val="0"/>
        <w:autoSpaceDE/>
        <w:autoSpaceDN/>
        <w:bidi w:val="0"/>
        <w:adjustRightInd w:val="0"/>
        <w:snapToGrid/>
        <w:spacing w:line="432" w:lineRule="auto"/>
        <w:ind w:firstLine="480" w:firstLineChars="200"/>
        <w:textAlignment w:val="auto"/>
        <w:rPr>
          <w:rFonts w:hint="eastAsia" w:ascii="宋体" w:hAnsi="宋体" w:eastAsia="宋体" w:cs="宋体"/>
          <w:sz w:val="24"/>
        </w:rPr>
      </w:pPr>
      <w:r>
        <w:rPr>
          <w:rFonts w:hint="eastAsia" w:ascii="宋体" w:hAnsi="宋体" w:eastAsia="宋体" w:cs="宋体"/>
          <w:sz w:val="24"/>
          <w:lang w:val="zh-CN"/>
        </w:rPr>
        <w:t>根据《中华人民共和国民法典</w:t>
      </w:r>
      <w:r>
        <w:rPr>
          <w:rFonts w:hint="eastAsia" w:ascii="宋体" w:hAnsi="宋体" w:cs="宋体"/>
          <w:sz w:val="24"/>
          <w:lang w:val="zh-CN"/>
        </w:rPr>
        <w:t>》《</w:t>
      </w:r>
      <w:r>
        <w:rPr>
          <w:rFonts w:hint="eastAsia" w:ascii="宋体" w:hAnsi="宋体" w:eastAsia="宋体" w:cs="宋体"/>
          <w:sz w:val="24"/>
          <w:lang w:val="zh-CN"/>
        </w:rPr>
        <w:t>中华人民共和国政府采购法》等相关法律法规之规定，按照平等、自愿、公平、诚实信用和绿色的原则，经</w:t>
      </w:r>
      <w:r>
        <w:rPr>
          <w:rFonts w:hint="eastAsia" w:ascii="宋体" w:hAnsi="宋体" w:eastAsia="宋体" w:cs="宋体"/>
          <w:sz w:val="24"/>
          <w:lang w:val="en-US" w:eastAsia="zh-CN"/>
        </w:rPr>
        <w:t xml:space="preserve"> </w:t>
      </w:r>
      <w:r>
        <w:rPr>
          <w:rFonts w:hint="eastAsia" w:ascii="宋体" w:hAnsi="宋体" w:cs="宋体"/>
          <w:color w:val="FF0000"/>
          <w:sz w:val="24"/>
          <w:u w:val="single"/>
          <w:lang w:eastAsia="zh-CN"/>
        </w:rPr>
        <w:t>桐庐县青少年宫</w:t>
      </w:r>
      <w:r>
        <w:rPr>
          <w:rFonts w:hint="eastAsia" w:ascii="宋体" w:hAnsi="宋体" w:eastAsia="宋体" w:cs="宋体"/>
          <w:color w:val="FF0000"/>
          <w:sz w:val="24"/>
          <w:u w:val="single"/>
          <w:lang w:val="en-US" w:eastAsia="zh-CN"/>
        </w:rPr>
        <w:t xml:space="preserve"> </w:t>
      </w:r>
      <w:r>
        <w:rPr>
          <w:rFonts w:hint="eastAsia" w:ascii="宋体" w:hAnsi="宋体" w:cs="宋体"/>
          <w:color w:val="FF0000"/>
          <w:sz w:val="24"/>
          <w:u w:val="single"/>
          <w:lang w:val="en-US" w:eastAsia="zh-CN"/>
        </w:rPr>
        <w:t>（</w:t>
      </w:r>
      <w:r>
        <w:rPr>
          <w:rFonts w:hint="eastAsia" w:ascii="宋体" w:hAnsi="宋体" w:eastAsia="宋体" w:cs="宋体"/>
          <w:sz w:val="24"/>
          <w:lang w:val="zh-CN"/>
        </w:rPr>
        <w:t>以下简称：甲方</w:t>
      </w:r>
      <w:r>
        <w:rPr>
          <w:rFonts w:hint="eastAsia" w:ascii="宋体" w:hAnsi="宋体" w:cs="宋体"/>
          <w:sz w:val="24"/>
          <w:lang w:val="zh-CN"/>
        </w:rPr>
        <w:t>）</w:t>
      </w:r>
      <w:r>
        <w:rPr>
          <w:rFonts w:hint="eastAsia" w:ascii="宋体" w:hAnsi="宋体" w:eastAsia="宋体" w:cs="宋体"/>
          <w:sz w:val="24"/>
          <w:lang w:val="zh-CN"/>
        </w:rPr>
        <w:t>和</w:t>
      </w:r>
      <w:r>
        <w:rPr>
          <w:rFonts w:hint="eastAsia" w:ascii="宋体" w:hAnsi="宋体" w:eastAsia="宋体" w:cs="宋体"/>
          <w:color w:val="FF0000"/>
          <w:sz w:val="24"/>
          <w:u w:val="single"/>
        </w:rPr>
        <w:t xml:space="preserve">   （</w:t>
      </w:r>
      <w:r>
        <w:rPr>
          <w:rFonts w:hint="eastAsia" w:ascii="宋体" w:hAnsi="宋体" w:cs="宋体"/>
          <w:color w:val="FF0000"/>
          <w:sz w:val="24"/>
          <w:u w:val="single"/>
          <w:lang w:eastAsia="zh-CN"/>
        </w:rPr>
        <w:t>中标单位</w:t>
      </w:r>
      <w:r>
        <w:rPr>
          <w:rFonts w:hint="eastAsia" w:ascii="宋体" w:hAnsi="宋体" w:eastAsia="宋体" w:cs="宋体"/>
          <w:color w:val="FF0000"/>
          <w:sz w:val="24"/>
          <w:u w:val="single"/>
        </w:rPr>
        <w:t xml:space="preserve">名称）   </w:t>
      </w:r>
      <w:r>
        <w:rPr>
          <w:rFonts w:hint="eastAsia" w:ascii="宋体" w:hAnsi="宋体" w:cs="宋体"/>
          <w:color w:val="FF0000"/>
          <w:sz w:val="24"/>
          <w:u w:val="single"/>
          <w:lang w:eastAsia="zh-CN"/>
        </w:rPr>
        <w:t>（</w:t>
      </w:r>
      <w:r>
        <w:rPr>
          <w:rFonts w:hint="eastAsia" w:ascii="宋体" w:hAnsi="宋体" w:eastAsia="宋体" w:cs="宋体"/>
          <w:sz w:val="24"/>
          <w:lang w:val="zh-CN"/>
        </w:rPr>
        <w:t>以下简称：乙方</w:t>
      </w:r>
      <w:r>
        <w:rPr>
          <w:rFonts w:hint="eastAsia" w:ascii="宋体" w:hAnsi="宋体" w:cs="宋体"/>
          <w:sz w:val="24"/>
          <w:lang w:val="zh-CN"/>
        </w:rPr>
        <w:t>）</w:t>
      </w:r>
      <w:r>
        <w:rPr>
          <w:rFonts w:hint="eastAsia" w:ascii="宋体" w:hAnsi="宋体" w:eastAsia="宋体" w:cs="宋体"/>
          <w:sz w:val="24"/>
          <w:lang w:val="zh-CN"/>
        </w:rPr>
        <w:t>协商一致，约定以下合同</w:t>
      </w:r>
      <w:r>
        <w:rPr>
          <w:rFonts w:hint="eastAsia" w:ascii="宋体" w:hAnsi="宋体" w:eastAsia="宋体" w:cs="宋体"/>
          <w:sz w:val="24"/>
        </w:rPr>
        <w:t>条款，以兹共同遵守、全面履行。</w:t>
      </w:r>
    </w:p>
    <w:p w14:paraId="29F6CCAD">
      <w:pPr>
        <w:keepNext w:val="0"/>
        <w:keepLines w:val="0"/>
        <w:pageBreakBefore w:val="0"/>
        <w:widowControl w:val="0"/>
        <w:kinsoku/>
        <w:wordWrap/>
        <w:overflowPunct/>
        <w:topLinePunct w:val="0"/>
        <w:autoSpaceDE/>
        <w:autoSpaceDN/>
        <w:bidi w:val="0"/>
        <w:adjustRightInd w:val="0"/>
        <w:snapToGrid/>
        <w:spacing w:after="313" w:afterLines="100" w:line="240" w:lineRule="auto"/>
        <w:ind w:firstLine="482" w:firstLineChars="200"/>
        <w:textAlignment w:val="auto"/>
        <w:outlineLvl w:val="0"/>
        <w:rPr>
          <w:rFonts w:hint="eastAsia" w:ascii="宋体" w:hAnsi="宋体" w:eastAsia="宋体" w:cs="宋体"/>
          <w:sz w:val="24"/>
        </w:rPr>
      </w:pPr>
      <w:bookmarkStart w:id="397" w:name="_Toc28855"/>
      <w:bookmarkStart w:id="398" w:name="_Toc22967"/>
      <w:bookmarkStart w:id="399" w:name="_Toc15367"/>
      <w:bookmarkStart w:id="400" w:name="_Toc19273"/>
      <w:bookmarkStart w:id="401" w:name="_Toc20421"/>
      <w:r>
        <w:rPr>
          <w:rFonts w:hint="eastAsia" w:ascii="宋体" w:hAnsi="宋体" w:eastAsia="宋体" w:cs="宋体"/>
          <w:b/>
          <w:sz w:val="24"/>
        </w:rPr>
        <w:t>1.1 合同组成部分</w:t>
      </w:r>
      <w:bookmarkEnd w:id="397"/>
      <w:bookmarkEnd w:id="398"/>
      <w:bookmarkEnd w:id="399"/>
      <w:bookmarkEnd w:id="400"/>
      <w:bookmarkEnd w:id="401"/>
    </w:p>
    <w:p w14:paraId="0F0A202A">
      <w:pPr>
        <w:keepNext w:val="0"/>
        <w:keepLines w:val="0"/>
        <w:pageBreakBefore w:val="0"/>
        <w:widowControl w:val="0"/>
        <w:kinsoku/>
        <w:wordWrap/>
        <w:overflowPunct/>
        <w:topLinePunct w:val="0"/>
        <w:autoSpaceDE/>
        <w:autoSpaceDN/>
        <w:bidi w:val="0"/>
        <w:adjustRightInd w:val="0"/>
        <w:snapToGrid/>
        <w:spacing w:line="432" w:lineRule="auto"/>
        <w:ind w:firstLine="480" w:firstLineChars="200"/>
        <w:textAlignment w:val="auto"/>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s="宋体"/>
          <w:sz w:val="24"/>
          <w:lang w:eastAsia="zh-CN"/>
        </w:rPr>
        <w:t>份文件</w:t>
      </w:r>
      <w:r>
        <w:rPr>
          <w:rFonts w:hint="eastAsia" w:ascii="宋体" w:hAnsi="宋体" w:eastAsia="宋体" w:cs="宋体"/>
          <w:sz w:val="24"/>
        </w:rPr>
        <w:t>的优先适用顺序如下：</w:t>
      </w:r>
    </w:p>
    <w:p w14:paraId="44B9DF43">
      <w:pPr>
        <w:keepNext w:val="0"/>
        <w:keepLines w:val="0"/>
        <w:pageBreakBefore w:val="0"/>
        <w:widowControl w:val="0"/>
        <w:kinsoku/>
        <w:wordWrap/>
        <w:overflowPunct/>
        <w:topLinePunct w:val="0"/>
        <w:autoSpaceDE/>
        <w:autoSpaceDN/>
        <w:bidi w:val="0"/>
        <w:adjustRightInd w:val="0"/>
        <w:snapToGrid/>
        <w:spacing w:line="432" w:lineRule="auto"/>
        <w:ind w:firstLine="480" w:firstLineChars="200"/>
        <w:textAlignment w:val="auto"/>
        <w:rPr>
          <w:rFonts w:hint="eastAsia" w:ascii="宋体" w:hAnsi="宋体" w:eastAsia="宋体" w:cs="宋体"/>
          <w:sz w:val="24"/>
        </w:rPr>
      </w:pPr>
      <w:r>
        <w:rPr>
          <w:rFonts w:hint="eastAsia" w:ascii="宋体" w:hAnsi="宋体" w:eastAsia="宋体" w:cs="宋体"/>
          <w:sz w:val="24"/>
        </w:rPr>
        <w:t>1.1.1 本合同及其补充合同、变更协议；</w:t>
      </w:r>
    </w:p>
    <w:p w14:paraId="152F43A8">
      <w:pPr>
        <w:keepNext w:val="0"/>
        <w:keepLines w:val="0"/>
        <w:pageBreakBefore w:val="0"/>
        <w:widowControl w:val="0"/>
        <w:kinsoku/>
        <w:wordWrap/>
        <w:overflowPunct/>
        <w:topLinePunct w:val="0"/>
        <w:autoSpaceDE/>
        <w:autoSpaceDN/>
        <w:bidi w:val="0"/>
        <w:adjustRightInd w:val="0"/>
        <w:snapToGrid/>
        <w:spacing w:line="432" w:lineRule="auto"/>
        <w:ind w:firstLine="480" w:firstLineChars="200"/>
        <w:textAlignment w:val="auto"/>
        <w:rPr>
          <w:rFonts w:hint="eastAsia" w:ascii="宋体" w:hAnsi="宋体" w:eastAsia="宋体" w:cs="宋体"/>
          <w:sz w:val="24"/>
        </w:rPr>
      </w:pPr>
      <w:r>
        <w:rPr>
          <w:rFonts w:hint="eastAsia" w:ascii="宋体" w:hAnsi="宋体" w:eastAsia="宋体" w:cs="宋体"/>
          <w:sz w:val="24"/>
        </w:rPr>
        <w:t>1.1.2 中标通知书；</w:t>
      </w:r>
    </w:p>
    <w:p w14:paraId="10ECF2FC">
      <w:pPr>
        <w:keepNext w:val="0"/>
        <w:keepLines w:val="0"/>
        <w:pageBreakBefore w:val="0"/>
        <w:widowControl w:val="0"/>
        <w:kinsoku/>
        <w:wordWrap/>
        <w:overflowPunct/>
        <w:topLinePunct w:val="0"/>
        <w:autoSpaceDE/>
        <w:autoSpaceDN/>
        <w:bidi w:val="0"/>
        <w:adjustRightInd w:val="0"/>
        <w:snapToGrid/>
        <w:spacing w:line="432" w:lineRule="auto"/>
        <w:ind w:firstLine="480" w:firstLineChars="200"/>
        <w:textAlignment w:val="auto"/>
        <w:rPr>
          <w:rFonts w:hint="eastAsia" w:ascii="宋体" w:hAnsi="宋体" w:eastAsia="宋体" w:cs="宋体"/>
          <w:sz w:val="24"/>
        </w:rPr>
      </w:pPr>
      <w:r>
        <w:rPr>
          <w:rFonts w:hint="eastAsia" w:ascii="宋体" w:hAnsi="宋体" w:eastAsia="宋体" w:cs="宋体"/>
          <w:sz w:val="24"/>
        </w:rPr>
        <w:t>1.1.3 投标文件（含澄清或者说明文件）；</w:t>
      </w:r>
    </w:p>
    <w:p w14:paraId="708C9EAC">
      <w:pPr>
        <w:keepNext w:val="0"/>
        <w:keepLines w:val="0"/>
        <w:pageBreakBefore w:val="0"/>
        <w:widowControl w:val="0"/>
        <w:kinsoku/>
        <w:wordWrap/>
        <w:overflowPunct/>
        <w:topLinePunct w:val="0"/>
        <w:autoSpaceDE/>
        <w:autoSpaceDN/>
        <w:bidi w:val="0"/>
        <w:adjustRightInd w:val="0"/>
        <w:snapToGrid/>
        <w:spacing w:line="432" w:lineRule="auto"/>
        <w:ind w:firstLine="480" w:firstLineChars="200"/>
        <w:textAlignment w:val="auto"/>
        <w:rPr>
          <w:rFonts w:hint="eastAsia" w:ascii="宋体" w:hAnsi="宋体" w:eastAsia="宋体" w:cs="宋体"/>
          <w:sz w:val="24"/>
        </w:rPr>
      </w:pPr>
      <w:r>
        <w:rPr>
          <w:rFonts w:hint="eastAsia" w:ascii="宋体" w:hAnsi="宋体" w:eastAsia="宋体" w:cs="宋体"/>
          <w:sz w:val="24"/>
        </w:rPr>
        <w:t>1.1.4 招标文件（含澄清或者修改文件）；</w:t>
      </w:r>
    </w:p>
    <w:p w14:paraId="5414E26B">
      <w:pPr>
        <w:keepNext w:val="0"/>
        <w:keepLines w:val="0"/>
        <w:pageBreakBefore w:val="0"/>
        <w:widowControl w:val="0"/>
        <w:kinsoku/>
        <w:wordWrap/>
        <w:overflowPunct/>
        <w:topLinePunct w:val="0"/>
        <w:autoSpaceDE/>
        <w:autoSpaceDN/>
        <w:bidi w:val="0"/>
        <w:adjustRightInd w:val="0"/>
        <w:snapToGrid/>
        <w:spacing w:line="432" w:lineRule="auto"/>
        <w:ind w:firstLine="480" w:firstLineChars="200"/>
        <w:textAlignment w:val="auto"/>
        <w:rPr>
          <w:rFonts w:hint="eastAsia" w:ascii="宋体" w:hAnsi="宋体" w:eastAsia="宋体" w:cs="宋体"/>
          <w:sz w:val="24"/>
        </w:rPr>
      </w:pPr>
      <w:r>
        <w:rPr>
          <w:rFonts w:hint="eastAsia" w:ascii="宋体" w:hAnsi="宋体" w:eastAsia="宋体" w:cs="宋体"/>
          <w:sz w:val="24"/>
        </w:rPr>
        <w:t>1.1.5 其他相关采购文件。</w:t>
      </w:r>
    </w:p>
    <w:p w14:paraId="3242D03E">
      <w:pPr>
        <w:spacing w:line="360" w:lineRule="auto"/>
        <w:ind w:firstLine="482" w:firstLineChars="200"/>
        <w:outlineLvl w:val="0"/>
        <w:rPr>
          <w:rFonts w:hint="eastAsia" w:ascii="宋体" w:hAnsi="宋体" w:eastAsia="宋体" w:cs="宋体"/>
          <w:b/>
          <w:sz w:val="24"/>
          <w:lang w:val="en-US" w:eastAsia="zh-CN"/>
        </w:rPr>
      </w:pPr>
      <w:bookmarkStart w:id="402" w:name="_Toc6311"/>
      <w:bookmarkStart w:id="403" w:name="_Toc2918"/>
      <w:bookmarkStart w:id="404" w:name="_Toc18585"/>
      <w:bookmarkStart w:id="405" w:name="_Toc6773"/>
      <w:bookmarkStart w:id="406" w:name="_Toc22185"/>
      <w:r>
        <w:rPr>
          <w:rFonts w:hint="eastAsia" w:ascii="宋体" w:hAnsi="宋体" w:cs="宋体"/>
          <w:b/>
          <w:sz w:val="24"/>
          <w:lang w:val="en-US" w:eastAsia="zh-CN"/>
        </w:rPr>
        <w:t>1.2</w:t>
      </w:r>
      <w:r>
        <w:rPr>
          <w:rFonts w:hint="eastAsia" w:ascii="宋体" w:hAnsi="宋体" w:eastAsia="宋体" w:cs="宋体"/>
          <w:b/>
          <w:sz w:val="24"/>
          <w:lang w:val="en-US" w:eastAsia="zh-CN"/>
        </w:rPr>
        <w:t>项目概要</w:t>
      </w:r>
    </w:p>
    <w:p w14:paraId="22D95042">
      <w:pPr>
        <w:keepNext w:val="0"/>
        <w:keepLines w:val="0"/>
        <w:pageBreakBefore w:val="0"/>
        <w:widowControl w:val="0"/>
        <w:shd w:val="clear"/>
        <w:kinsoku/>
        <w:wordWrap/>
        <w:overflowPunct/>
        <w:topLinePunct w:val="0"/>
        <w:autoSpaceDE/>
        <w:autoSpaceDN/>
        <w:bidi w:val="0"/>
        <w:adjustRightInd w:val="0"/>
        <w:snapToGrid w:val="0"/>
        <w:spacing w:before="0" w:beforeLines="50" w:after="0" w:afterLines="50" w:line="360" w:lineRule="auto"/>
        <w:ind w:firstLine="480" w:firstLineChars="200"/>
        <w:textAlignment w:val="auto"/>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lang w:val="zh-CN" w:eastAsia="zh-CN"/>
        </w:rPr>
        <w:t>1</w:t>
      </w:r>
      <w:r>
        <w:rPr>
          <w:rFonts w:hint="eastAsia" w:ascii="宋体" w:hAnsi="宋体" w:eastAsia="宋体" w:cs="宋体"/>
          <w:color w:val="auto"/>
          <w:kern w:val="0"/>
          <w:sz w:val="24"/>
          <w:highlight w:val="none"/>
          <w:lang w:val="en-US" w:eastAsia="zh-CN"/>
        </w:rPr>
        <w:t>项目内容：</w:t>
      </w:r>
      <w:r>
        <w:rPr>
          <w:rFonts w:hint="eastAsia" w:ascii="宋体" w:hAnsi="宋体" w:cs="宋体"/>
          <w:color w:val="auto"/>
          <w:kern w:val="0"/>
          <w:sz w:val="24"/>
          <w:highlight w:val="none"/>
          <w:lang w:val="en-US" w:eastAsia="zh-CN"/>
        </w:rPr>
        <w:t>2024年</w:t>
      </w:r>
      <w:r>
        <w:rPr>
          <w:rFonts w:hint="eastAsia" w:ascii="宋体" w:hAnsi="宋体" w:eastAsia="宋体" w:cs="宋体"/>
          <w:color w:val="auto"/>
          <w:kern w:val="0"/>
          <w:sz w:val="24"/>
          <w:highlight w:val="none"/>
          <w:lang w:val="en-US" w:eastAsia="zh-CN"/>
        </w:rPr>
        <w:t>桐庐县青少年宫</w:t>
      </w:r>
      <w:r>
        <w:rPr>
          <w:rFonts w:hint="eastAsia" w:ascii="宋体" w:hAnsi="宋体" w:eastAsia="宋体" w:cs="宋体"/>
          <w:color w:val="auto"/>
          <w:kern w:val="0"/>
          <w:sz w:val="24"/>
          <w:highlight w:val="none"/>
          <w:lang w:val="zh-CN" w:eastAsia="zh-CN"/>
        </w:rPr>
        <w:t>消防维保服务。</w:t>
      </w:r>
    </w:p>
    <w:p w14:paraId="167BAA6B">
      <w:pPr>
        <w:keepNext w:val="0"/>
        <w:keepLines w:val="0"/>
        <w:pageBreakBefore w:val="0"/>
        <w:widowControl w:val="0"/>
        <w:shd w:val="clear"/>
        <w:kinsoku/>
        <w:wordWrap/>
        <w:overflowPunct/>
        <w:topLinePunct w:val="0"/>
        <w:autoSpaceDE/>
        <w:autoSpaceDN/>
        <w:bidi w:val="0"/>
        <w:adjustRightInd w:val="0"/>
        <w:snapToGrid w:val="0"/>
        <w:spacing w:before="0" w:beforeLines="50" w:after="0" w:afterLines="50" w:line="360" w:lineRule="auto"/>
        <w:ind w:firstLine="480" w:firstLineChars="200"/>
        <w:textAlignment w:val="auto"/>
        <w:rPr>
          <w:rFonts w:hint="eastAsia" w:ascii="宋体" w:hAnsi="宋体" w:cs="宋体"/>
          <w:b w:val="0"/>
          <w:bCs/>
          <w:color w:val="auto"/>
          <w:sz w:val="24"/>
          <w:highlight w:val="none"/>
          <w:lang w:val="zh-CN" w:eastAsia="zh-CN"/>
        </w:rPr>
      </w:pP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lang w:val="zh-CN" w:eastAsia="zh-CN"/>
        </w:rPr>
        <w:t>2</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yellow"/>
          <w:lang w:val="zh-CN" w:eastAsia="zh-CN"/>
        </w:rPr>
        <w:t>服务期：</w:t>
      </w:r>
      <w:r>
        <w:rPr>
          <w:rFonts w:hint="eastAsia" w:ascii="宋体" w:hAnsi="宋体" w:cs="宋体"/>
          <w:color w:val="auto"/>
          <w:kern w:val="0"/>
          <w:sz w:val="24"/>
          <w:highlight w:val="yellow"/>
          <w:lang w:val="en-US" w:eastAsia="zh-CN"/>
        </w:rPr>
        <w:t>一</w:t>
      </w:r>
      <w:r>
        <w:rPr>
          <w:rFonts w:hint="eastAsia" w:ascii="宋体" w:hAnsi="宋体" w:eastAsia="宋体" w:cs="宋体"/>
          <w:color w:val="auto"/>
          <w:kern w:val="0"/>
          <w:sz w:val="24"/>
          <w:highlight w:val="yellow"/>
          <w:lang w:val="zh-CN" w:eastAsia="zh-CN"/>
        </w:rPr>
        <w:t>年</w:t>
      </w:r>
      <w:r>
        <w:rPr>
          <w:rFonts w:hint="eastAsia" w:ascii="宋体" w:hAnsi="宋体" w:eastAsia="宋体" w:cs="宋体"/>
          <w:color w:val="auto"/>
          <w:kern w:val="0"/>
          <w:sz w:val="24"/>
          <w:highlight w:val="none"/>
          <w:lang w:val="zh-CN" w:eastAsia="zh-CN"/>
        </w:rPr>
        <w:t>，</w:t>
      </w:r>
      <w:r>
        <w:rPr>
          <w:rFonts w:hint="eastAsia" w:ascii="宋体" w:hAnsi="宋体" w:eastAsia="宋体" w:cs="宋体"/>
          <w:b w:val="0"/>
          <w:bCs/>
          <w:color w:val="auto"/>
          <w:sz w:val="24"/>
          <w:highlight w:val="none"/>
          <w:lang w:val="zh-CN" w:eastAsia="zh-CN"/>
        </w:rPr>
        <w:t>具体起止时间</w:t>
      </w:r>
      <w:r>
        <w:rPr>
          <w:rFonts w:hint="eastAsia" w:ascii="宋体" w:hAnsi="宋体" w:cs="宋体"/>
          <w:b w:val="0"/>
          <w:bCs/>
          <w:color w:val="auto"/>
          <w:sz w:val="24"/>
          <w:highlight w:val="none"/>
          <w:lang w:val="en-US" w:eastAsia="zh-CN"/>
        </w:rPr>
        <w:t>以合同签订为准</w:t>
      </w:r>
      <w:r>
        <w:rPr>
          <w:rFonts w:hint="eastAsia" w:ascii="宋体" w:hAnsi="宋体" w:cs="宋体"/>
          <w:b w:val="0"/>
          <w:bCs/>
          <w:color w:val="auto"/>
          <w:sz w:val="24"/>
          <w:highlight w:val="none"/>
          <w:lang w:val="zh-CN" w:eastAsia="zh-CN"/>
        </w:rPr>
        <w:t>。</w:t>
      </w:r>
    </w:p>
    <w:p w14:paraId="3E62F363">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ind w:firstLine="480" w:firstLineChars="200"/>
        <w:textAlignment w:val="auto"/>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lang w:val="zh-CN" w:eastAsia="zh-CN"/>
        </w:rPr>
        <w:t>3</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eastAsia="zh-CN"/>
        </w:rPr>
        <w:t>服务地点：桐庐县青少年宫（</w:t>
      </w:r>
      <w:r>
        <w:rPr>
          <w:rFonts w:hint="eastAsia" w:ascii="宋体" w:hAnsi="宋体" w:eastAsia="宋体" w:cs="宋体"/>
          <w:color w:val="auto"/>
          <w:kern w:val="0"/>
          <w:sz w:val="24"/>
          <w:highlight w:val="none"/>
          <w:lang w:val="en-US" w:eastAsia="zh-CN"/>
        </w:rPr>
        <w:t>桐庐县城南街道白云源路1588号</w:t>
      </w:r>
      <w:r>
        <w:rPr>
          <w:rFonts w:hint="eastAsia" w:ascii="宋体" w:hAnsi="宋体" w:eastAsia="宋体" w:cs="宋体"/>
          <w:color w:val="auto"/>
          <w:kern w:val="0"/>
          <w:sz w:val="24"/>
          <w:highlight w:val="none"/>
          <w:lang w:val="zh-CN" w:eastAsia="zh-CN"/>
        </w:rPr>
        <w:t>）</w:t>
      </w:r>
    </w:p>
    <w:p w14:paraId="38E155E6">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ind w:firstLine="480" w:firstLineChars="200"/>
        <w:textAlignment w:val="auto"/>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lang w:val="zh-CN" w:eastAsia="zh-CN"/>
        </w:rPr>
        <w:t>4</w:t>
      </w:r>
      <w:r>
        <w:rPr>
          <w:rFonts w:hint="eastAsia" w:ascii="宋体" w:hAnsi="宋体" w:cs="宋体"/>
          <w:color w:val="auto"/>
          <w:kern w:val="0"/>
          <w:sz w:val="24"/>
          <w:highlight w:val="none"/>
          <w:lang w:val="en-US" w:eastAsia="zh-CN"/>
        </w:rPr>
        <w:t>.</w:t>
      </w:r>
      <w:r>
        <w:rPr>
          <w:rFonts w:hint="eastAsia" w:ascii="宋体" w:hAnsi="宋体" w:eastAsia="宋体" w:cs="宋体"/>
          <w:color w:val="auto"/>
          <w:kern w:val="0"/>
          <w:sz w:val="24"/>
          <w:highlight w:val="none"/>
          <w:lang w:val="zh-CN" w:eastAsia="zh-CN"/>
        </w:rPr>
        <w:t>现场条件</w:t>
      </w:r>
    </w:p>
    <w:p w14:paraId="0CC0DBD6">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ind w:firstLine="480" w:firstLineChars="200"/>
        <w:textAlignment w:val="auto"/>
        <w:rPr>
          <w:rFonts w:hint="eastAsia" w:ascii="宋体" w:hAnsi="宋体" w:eastAsia="宋体" w:cs="宋体"/>
          <w:color w:val="auto"/>
          <w:kern w:val="0"/>
          <w:sz w:val="24"/>
          <w:highlight w:val="none"/>
          <w:lang w:val="zh-CN" w:eastAsia="zh-CN"/>
        </w:rPr>
      </w:pPr>
      <w:r>
        <w:rPr>
          <w:rFonts w:hint="eastAsia" w:ascii="宋体" w:hAnsi="宋体" w:cs="宋体"/>
          <w:color w:val="auto"/>
          <w:kern w:val="0"/>
          <w:sz w:val="24"/>
          <w:highlight w:val="none"/>
          <w:lang w:val="en-US" w:eastAsia="zh-CN"/>
        </w:rPr>
        <w:t>1.2.4.1</w:t>
      </w:r>
      <w:r>
        <w:rPr>
          <w:rFonts w:hint="eastAsia" w:ascii="宋体" w:hAnsi="宋体" w:eastAsia="宋体" w:cs="宋体"/>
          <w:color w:val="auto"/>
          <w:kern w:val="0"/>
          <w:sz w:val="24"/>
          <w:highlight w:val="none"/>
          <w:lang w:val="zh-CN" w:eastAsia="zh-CN"/>
        </w:rPr>
        <w:t>已具备实施条件，但实施不能影响</w:t>
      </w:r>
      <w:r>
        <w:rPr>
          <w:rFonts w:hint="eastAsia" w:ascii="宋体" w:hAnsi="宋体" w:eastAsia="宋体" w:cs="宋体"/>
          <w:color w:val="auto"/>
          <w:kern w:val="0"/>
          <w:sz w:val="24"/>
          <w:highlight w:val="none"/>
          <w:lang w:val="en-US" w:eastAsia="zh-CN"/>
        </w:rPr>
        <w:t>桐庐县青少年宫</w:t>
      </w:r>
      <w:r>
        <w:rPr>
          <w:rFonts w:hint="eastAsia" w:ascii="宋体" w:hAnsi="宋体" w:eastAsia="宋体" w:cs="宋体"/>
          <w:color w:val="auto"/>
          <w:kern w:val="0"/>
          <w:sz w:val="24"/>
          <w:highlight w:val="none"/>
          <w:lang w:val="zh-CN" w:eastAsia="zh-CN"/>
        </w:rPr>
        <w:t>正常工作。</w:t>
      </w:r>
    </w:p>
    <w:p w14:paraId="6EDFB3B2">
      <w:pPr>
        <w:keepNext w:val="0"/>
        <w:keepLines w:val="0"/>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rFonts w:hint="eastAsia" w:ascii="宋体" w:hAnsi="宋体" w:eastAsia="宋体" w:cs="宋体"/>
          <w:color w:val="auto"/>
          <w:kern w:val="0"/>
          <w:sz w:val="24"/>
          <w:highlight w:val="none"/>
          <w:lang w:val="zh-CN" w:eastAsia="zh-CN"/>
        </w:rPr>
      </w:pPr>
      <w:r>
        <w:rPr>
          <w:rFonts w:hint="eastAsia" w:ascii="宋体" w:hAnsi="宋体" w:eastAsia="宋体" w:cs="宋体"/>
          <w:color w:val="auto"/>
          <w:kern w:val="0"/>
          <w:sz w:val="24"/>
          <w:highlight w:val="none"/>
          <w:lang w:val="en-US" w:eastAsia="zh-CN"/>
        </w:rPr>
        <w:t>1.2.4.2</w:t>
      </w:r>
      <w:r>
        <w:rPr>
          <w:rFonts w:hint="eastAsia" w:ascii="宋体" w:hAnsi="宋体" w:eastAsia="宋体" w:cs="宋体"/>
          <w:color w:val="auto"/>
          <w:kern w:val="0"/>
          <w:sz w:val="24"/>
          <w:highlight w:val="none"/>
          <w:lang w:val="zh-CN" w:eastAsia="zh-CN"/>
        </w:rPr>
        <w:t>采购单位不组织现场踏勘，</w:t>
      </w:r>
      <w:r>
        <w:rPr>
          <w:rFonts w:hint="eastAsia" w:ascii="宋体" w:hAnsi="宋体" w:eastAsia="宋体" w:cs="宋体"/>
          <w:color w:val="auto"/>
          <w:kern w:val="0"/>
          <w:sz w:val="24"/>
          <w:highlight w:val="none"/>
          <w:lang w:val="en-US" w:eastAsia="zh-CN"/>
        </w:rPr>
        <w:t>投标单位</w:t>
      </w:r>
      <w:r>
        <w:rPr>
          <w:rFonts w:hint="eastAsia" w:ascii="宋体" w:hAnsi="宋体" w:eastAsia="宋体" w:cs="宋体"/>
          <w:color w:val="auto"/>
          <w:kern w:val="0"/>
          <w:sz w:val="24"/>
          <w:highlight w:val="none"/>
          <w:lang w:val="zh-CN" w:eastAsia="zh-CN"/>
        </w:rPr>
        <w:t>应自行对现场和周围环境进行踏勘和了解，并充分考虑影响本次报价的因素、预计实施过程中各种不利因素，由此可能发生的费用均由</w:t>
      </w:r>
      <w:r>
        <w:rPr>
          <w:rFonts w:hint="eastAsia" w:ascii="宋体" w:hAnsi="宋体" w:eastAsia="宋体" w:cs="宋体"/>
          <w:color w:val="auto"/>
          <w:kern w:val="0"/>
          <w:sz w:val="24"/>
          <w:highlight w:val="none"/>
          <w:lang w:val="en-US" w:eastAsia="zh-CN"/>
        </w:rPr>
        <w:t>投标单位</w:t>
      </w:r>
      <w:r>
        <w:rPr>
          <w:rFonts w:hint="eastAsia" w:ascii="宋体" w:hAnsi="宋体" w:eastAsia="宋体" w:cs="宋体"/>
          <w:color w:val="auto"/>
          <w:kern w:val="0"/>
          <w:sz w:val="24"/>
          <w:highlight w:val="none"/>
          <w:lang w:val="zh-CN" w:eastAsia="zh-CN"/>
        </w:rPr>
        <w:t>考虑并包含在报价中。</w:t>
      </w:r>
      <w:r>
        <w:rPr>
          <w:rFonts w:hint="eastAsia" w:ascii="宋体" w:hAnsi="宋体" w:eastAsia="宋体" w:cs="宋体"/>
          <w:color w:val="auto"/>
          <w:kern w:val="0"/>
          <w:sz w:val="24"/>
          <w:highlight w:val="none"/>
          <w:lang w:val="en-US" w:eastAsia="zh-CN"/>
        </w:rPr>
        <w:t>中标</w:t>
      </w:r>
      <w:r>
        <w:rPr>
          <w:rFonts w:hint="eastAsia" w:ascii="宋体" w:hAnsi="宋体" w:eastAsia="宋体" w:cs="宋体"/>
          <w:color w:val="auto"/>
          <w:kern w:val="0"/>
          <w:sz w:val="24"/>
          <w:highlight w:val="none"/>
          <w:lang w:val="zh-CN" w:eastAsia="zh-CN"/>
        </w:rPr>
        <w:t>成交后，供应商不得再以不完全了解现场情况等为理由而提出额外付款或延长交货期等的要求，若有此类要求，采购单位将不做任何答复与考虑，供应商应承担现场踏勘的责任和风险，踏勘现场的费用由</w:t>
      </w:r>
      <w:r>
        <w:rPr>
          <w:rFonts w:hint="eastAsia" w:ascii="宋体" w:hAnsi="宋体" w:eastAsia="宋体" w:cs="宋体"/>
          <w:color w:val="auto"/>
          <w:kern w:val="0"/>
          <w:sz w:val="24"/>
          <w:highlight w:val="none"/>
          <w:lang w:val="en-US" w:eastAsia="zh-CN"/>
        </w:rPr>
        <w:t>投标单位</w:t>
      </w:r>
      <w:r>
        <w:rPr>
          <w:rFonts w:hint="eastAsia" w:ascii="宋体" w:hAnsi="宋体" w:eastAsia="宋体" w:cs="宋体"/>
          <w:color w:val="auto"/>
          <w:kern w:val="0"/>
          <w:sz w:val="24"/>
          <w:highlight w:val="none"/>
          <w:lang w:val="zh-CN" w:eastAsia="zh-CN"/>
        </w:rPr>
        <w:t>自行承担。</w:t>
      </w:r>
    </w:p>
    <w:bookmarkEnd w:id="402"/>
    <w:bookmarkEnd w:id="403"/>
    <w:bookmarkEnd w:id="404"/>
    <w:bookmarkEnd w:id="405"/>
    <w:bookmarkEnd w:id="406"/>
    <w:p w14:paraId="1E50FBD7">
      <w:pPr>
        <w:keepNext w:val="0"/>
        <w:keepLines w:val="0"/>
        <w:pageBreakBefore w:val="0"/>
        <w:widowControl w:val="0"/>
        <w:kinsoku/>
        <w:wordWrap/>
        <w:overflowPunct/>
        <w:topLinePunct w:val="0"/>
        <w:autoSpaceDE/>
        <w:autoSpaceDN/>
        <w:bidi w:val="0"/>
        <w:adjustRightInd w:val="0"/>
        <w:snapToGrid/>
        <w:spacing w:line="560" w:lineRule="exact"/>
        <w:ind w:firstLine="482" w:firstLineChars="200"/>
        <w:textAlignment w:val="auto"/>
        <w:outlineLvl w:val="0"/>
        <w:rPr>
          <w:rFonts w:hint="default" w:ascii="宋体" w:hAnsi="宋体" w:eastAsia="宋体" w:cs="宋体"/>
          <w:b/>
          <w:color w:val="auto"/>
          <w:sz w:val="24"/>
          <w:highlight w:val="none"/>
          <w:lang w:val="en-US" w:eastAsia="zh-CN"/>
        </w:rPr>
      </w:pPr>
      <w:bookmarkStart w:id="407" w:name="_Toc21124"/>
      <w:bookmarkStart w:id="408" w:name="_Toc4929"/>
      <w:bookmarkStart w:id="409" w:name="_Toc1386"/>
      <w:bookmarkStart w:id="410" w:name="_Toc13918"/>
      <w:bookmarkStart w:id="411" w:name="_Toc5635"/>
      <w:r>
        <w:rPr>
          <w:rFonts w:hint="eastAsia" w:ascii="宋体" w:hAnsi="宋体" w:eastAsia="宋体" w:cs="宋体"/>
          <w:b/>
          <w:color w:val="auto"/>
          <w:sz w:val="24"/>
          <w:highlight w:val="none"/>
          <w:lang w:val="en-US" w:eastAsia="zh-CN"/>
        </w:rPr>
        <w:t>1.3 合同</w:t>
      </w:r>
      <w:bookmarkEnd w:id="407"/>
      <w:bookmarkEnd w:id="408"/>
      <w:bookmarkEnd w:id="409"/>
      <w:bookmarkEnd w:id="410"/>
      <w:bookmarkEnd w:id="411"/>
      <w:r>
        <w:rPr>
          <w:rFonts w:hint="eastAsia" w:ascii="宋体" w:hAnsi="宋体" w:eastAsia="宋体" w:cs="宋体"/>
          <w:b/>
          <w:color w:val="auto"/>
          <w:sz w:val="24"/>
          <w:highlight w:val="none"/>
          <w:lang w:val="en-US" w:eastAsia="zh-CN"/>
        </w:rPr>
        <w:t>金额</w:t>
      </w:r>
    </w:p>
    <w:p w14:paraId="15B90D87">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本合同总价为：￥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元人民币）。</w:t>
      </w:r>
    </w:p>
    <w:p w14:paraId="2114222B">
      <w:pPr>
        <w:keepNext w:val="0"/>
        <w:keepLines w:val="0"/>
        <w:pageBreakBefore w:val="0"/>
        <w:widowControl w:val="0"/>
        <w:kinsoku/>
        <w:wordWrap/>
        <w:overflowPunct/>
        <w:topLinePunct w:val="0"/>
        <w:autoSpaceDE/>
        <w:autoSpaceDN/>
        <w:bidi w:val="0"/>
        <w:adjustRightInd w:val="0"/>
        <w:snapToGrid/>
        <w:spacing w:after="313" w:afterLines="100" w:line="560" w:lineRule="exact"/>
        <w:ind w:firstLine="482" w:firstLineChars="200"/>
        <w:textAlignment w:val="auto"/>
        <w:outlineLvl w:val="0"/>
        <w:rPr>
          <w:rFonts w:hint="eastAsia" w:ascii="宋体" w:hAnsi="宋体" w:eastAsia="宋体" w:cs="宋体"/>
          <w:b/>
          <w:color w:val="auto"/>
          <w:sz w:val="24"/>
          <w:highlight w:val="none"/>
          <w:lang w:val="en-US" w:eastAsia="zh-CN"/>
        </w:rPr>
      </w:pPr>
      <w:bookmarkStart w:id="412" w:name="_Toc3654"/>
      <w:bookmarkStart w:id="413" w:name="_Toc14993"/>
      <w:bookmarkStart w:id="414" w:name="_Toc30158"/>
      <w:bookmarkStart w:id="415" w:name="_Toc30506"/>
      <w:bookmarkStart w:id="416" w:name="_Toc26916"/>
      <w:r>
        <w:rPr>
          <w:rFonts w:hint="eastAsia" w:ascii="宋体" w:hAnsi="宋体" w:eastAsia="宋体" w:cs="宋体"/>
          <w:b/>
          <w:color w:val="auto"/>
          <w:sz w:val="24"/>
          <w:highlight w:val="none"/>
          <w:lang w:val="en-US" w:eastAsia="zh-CN"/>
        </w:rPr>
        <w:t>1.4</w:t>
      </w:r>
      <w:bookmarkEnd w:id="412"/>
      <w:bookmarkEnd w:id="413"/>
      <w:bookmarkEnd w:id="414"/>
      <w:bookmarkEnd w:id="415"/>
      <w:bookmarkEnd w:id="416"/>
      <w:r>
        <w:rPr>
          <w:rFonts w:hint="eastAsia" w:ascii="宋体" w:hAnsi="宋体" w:eastAsia="宋体" w:cs="宋体"/>
          <w:b/>
          <w:color w:val="auto"/>
          <w:sz w:val="24"/>
          <w:highlight w:val="none"/>
          <w:lang w:val="en-US" w:eastAsia="zh-CN"/>
        </w:rPr>
        <w:t xml:space="preserve"> 服务期</w:t>
      </w:r>
    </w:p>
    <w:p w14:paraId="2CE151D3">
      <w:pPr>
        <w:pStyle w:val="2"/>
        <w:ind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本项目服务期为：</w:t>
      </w:r>
      <w:r>
        <w:rPr>
          <w:rFonts w:hint="eastAsia" w:ascii="宋体" w:hAnsi="宋体" w:eastAsia="宋体" w:cs="宋体"/>
          <w:color w:val="auto"/>
          <w:kern w:val="0"/>
          <w:sz w:val="24"/>
          <w:szCs w:val="24"/>
          <w:highlight w:val="yellow"/>
          <w:lang w:val="en-US" w:eastAsia="zh-CN" w:bidi="ar-SA"/>
        </w:rPr>
        <w:t>一年</w:t>
      </w:r>
      <w:r>
        <w:rPr>
          <w:rFonts w:hint="eastAsia" w:ascii="宋体" w:hAnsi="宋体" w:eastAsia="宋体" w:cs="宋体"/>
          <w:color w:val="auto"/>
          <w:kern w:val="0"/>
          <w:sz w:val="24"/>
          <w:szCs w:val="24"/>
          <w:highlight w:val="none"/>
          <w:lang w:val="en-US" w:eastAsia="zh-CN" w:bidi="ar-SA"/>
        </w:rPr>
        <w:t>（自</w:t>
      </w:r>
      <w:r>
        <w:rPr>
          <w:rFonts w:hint="eastAsia" w:ascii="宋体" w:hAnsi="宋体" w:eastAsia="宋体" w:cs="宋体"/>
          <w:color w:val="auto"/>
          <w:kern w:val="2"/>
          <w:sz w:val="24"/>
          <w:szCs w:val="24"/>
          <w:highlight w:val="none"/>
          <w:u w:val="single"/>
          <w:lang w:val="en-US" w:eastAsia="zh-CN" w:bidi="ar-SA"/>
        </w:rPr>
        <w:t>2024</w:t>
      </w:r>
      <w:r>
        <w:rPr>
          <w:rFonts w:hint="eastAsia" w:ascii="宋体" w:hAnsi="宋体" w:eastAsia="宋体" w:cs="宋体"/>
          <w:color w:val="auto"/>
          <w:kern w:val="0"/>
          <w:sz w:val="24"/>
          <w:szCs w:val="24"/>
          <w:highlight w:val="none"/>
          <w:lang w:val="en-US" w:eastAsia="zh-CN" w:bidi="ar-SA"/>
        </w:rPr>
        <w:t>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月</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日至</w:t>
      </w:r>
      <w:r>
        <w:rPr>
          <w:rFonts w:hint="eastAsia" w:ascii="宋体" w:hAnsi="宋体" w:eastAsia="宋体" w:cs="宋体"/>
          <w:color w:val="auto"/>
          <w:kern w:val="2"/>
          <w:sz w:val="24"/>
          <w:szCs w:val="24"/>
          <w:highlight w:val="none"/>
          <w:u w:val="single"/>
          <w:lang w:val="en-US" w:eastAsia="zh-CN" w:bidi="ar-SA"/>
        </w:rPr>
        <w:t>2025</w:t>
      </w:r>
      <w:r>
        <w:rPr>
          <w:rFonts w:hint="eastAsia" w:ascii="宋体" w:hAnsi="宋体" w:eastAsia="宋体" w:cs="宋体"/>
          <w:color w:val="auto"/>
          <w:kern w:val="0"/>
          <w:sz w:val="24"/>
          <w:szCs w:val="24"/>
          <w:highlight w:val="none"/>
          <w:lang w:val="en-US" w:eastAsia="zh-CN" w:bidi="ar-SA"/>
        </w:rPr>
        <w:t>年</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月</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0"/>
          <w:sz w:val="24"/>
          <w:szCs w:val="24"/>
          <w:highlight w:val="none"/>
          <w:lang w:val="en-US" w:eastAsia="zh-CN" w:bidi="ar-SA"/>
        </w:rPr>
        <w:t>日止）</w:t>
      </w:r>
    </w:p>
    <w:p w14:paraId="4386AAE4">
      <w:pPr>
        <w:keepNext w:val="0"/>
        <w:keepLines w:val="0"/>
        <w:pageBreakBefore w:val="0"/>
        <w:widowControl w:val="0"/>
        <w:kinsoku/>
        <w:wordWrap/>
        <w:overflowPunct/>
        <w:topLinePunct w:val="0"/>
        <w:autoSpaceDE/>
        <w:autoSpaceDN/>
        <w:bidi w:val="0"/>
        <w:adjustRightInd w:val="0"/>
        <w:snapToGrid/>
        <w:spacing w:after="313" w:afterLines="100" w:line="560" w:lineRule="exact"/>
        <w:ind w:firstLine="482" w:firstLineChars="200"/>
        <w:textAlignment w:val="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 xml:space="preserve"> </w:t>
      </w:r>
      <w:r>
        <w:rPr>
          <w:rFonts w:hint="eastAsia" w:ascii="宋体" w:hAnsi="宋体" w:cs="宋体"/>
          <w:b/>
          <w:color w:val="auto"/>
          <w:sz w:val="24"/>
          <w:highlight w:val="none"/>
          <w:lang w:val="en-US" w:eastAsia="zh-CN"/>
        </w:rPr>
        <w:t>支付</w:t>
      </w:r>
      <w:r>
        <w:rPr>
          <w:rFonts w:hint="eastAsia" w:ascii="宋体" w:hAnsi="宋体" w:eastAsia="宋体" w:cs="宋体"/>
          <w:b/>
          <w:color w:val="auto"/>
          <w:sz w:val="24"/>
          <w:highlight w:val="none"/>
        </w:rPr>
        <w:t>方式</w:t>
      </w:r>
    </w:p>
    <w:p w14:paraId="74B17EA5">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ind w:firstLine="480" w:firstLineChars="200"/>
        <w:textAlignment w:val="auto"/>
        <w:rPr>
          <w:rFonts w:hint="eastAsia" w:ascii="宋体" w:hAnsi="宋体" w:cs="宋体"/>
          <w:color w:val="auto"/>
          <w:kern w:val="0"/>
          <w:sz w:val="24"/>
          <w:highlight w:val="none"/>
          <w:lang w:val="en-US" w:eastAsia="zh-CN"/>
        </w:rPr>
      </w:pPr>
      <w:bookmarkStart w:id="417" w:name="_Toc8772"/>
      <w:bookmarkStart w:id="418" w:name="_Toc31421"/>
      <w:bookmarkStart w:id="419" w:name="_Toc11108"/>
      <w:bookmarkStart w:id="420" w:name="_Toc4760"/>
      <w:bookmarkStart w:id="421" w:name="_Toc3625"/>
      <w:r>
        <w:rPr>
          <w:rFonts w:hint="eastAsia" w:ascii="宋体" w:hAnsi="宋体" w:cs="宋体"/>
          <w:color w:val="auto"/>
          <w:kern w:val="0"/>
          <w:sz w:val="24"/>
          <w:highlight w:val="none"/>
          <w:lang w:val="en-US" w:eastAsia="zh-CN"/>
        </w:rPr>
        <w:t>年度服务期满，经甲方验收及考核通过后15个工作日内一次性支付合同款；若考核不合格，甲方有权取消合同。</w:t>
      </w:r>
    </w:p>
    <w:p w14:paraId="4DCBB59E">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ind w:firstLine="480" w:firstLineChars="200"/>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（注：消防维保工作考核标准详见附件）</w:t>
      </w:r>
    </w:p>
    <w:p w14:paraId="2151EA53">
      <w:pPr>
        <w:keepNext w:val="0"/>
        <w:keepLines w:val="0"/>
        <w:pageBreakBefore w:val="0"/>
        <w:widowControl w:val="0"/>
        <w:kinsoku/>
        <w:wordWrap/>
        <w:overflowPunct/>
        <w:topLinePunct w:val="0"/>
        <w:autoSpaceDE/>
        <w:autoSpaceDN/>
        <w:bidi w:val="0"/>
        <w:adjustRightInd w:val="0"/>
        <w:snapToGrid/>
        <w:spacing w:after="157" w:afterLines="50" w:line="360" w:lineRule="auto"/>
        <w:ind w:firstLine="482" w:firstLineChars="200"/>
        <w:textAlignment w:val="auto"/>
        <w:outlineLvl w:val="0"/>
        <w:rPr>
          <w:rFonts w:hint="eastAsia" w:ascii="宋体" w:hAnsi="宋体" w:eastAsia="宋体" w:cs="宋体"/>
          <w:b/>
          <w:sz w:val="24"/>
          <w:lang w:val="en-US" w:eastAsia="zh-CN"/>
        </w:rPr>
      </w:pPr>
      <w:r>
        <w:rPr>
          <w:rFonts w:hint="eastAsia" w:ascii="宋体" w:hAnsi="宋体" w:eastAsia="宋体" w:cs="宋体"/>
          <w:b/>
          <w:sz w:val="24"/>
          <w:lang w:val="en-US" w:eastAsia="zh-CN"/>
        </w:rPr>
        <w:t>1.</w:t>
      </w:r>
      <w:r>
        <w:rPr>
          <w:rFonts w:hint="eastAsia" w:ascii="宋体" w:hAnsi="宋体" w:cs="宋体"/>
          <w:b/>
          <w:sz w:val="24"/>
          <w:lang w:val="en-US" w:eastAsia="zh-CN"/>
        </w:rPr>
        <w:t>6</w:t>
      </w:r>
      <w:r>
        <w:rPr>
          <w:rFonts w:hint="eastAsia" w:ascii="宋体" w:hAnsi="宋体" w:eastAsia="宋体" w:cs="宋体"/>
          <w:b/>
          <w:sz w:val="24"/>
          <w:lang w:val="en-US" w:eastAsia="zh-CN"/>
        </w:rPr>
        <w:t>消防维保清单</w:t>
      </w:r>
    </w:p>
    <w:tbl>
      <w:tblPr>
        <w:tblStyle w:val="63"/>
        <w:tblW w:w="89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15"/>
        <w:gridCol w:w="2309"/>
        <w:gridCol w:w="3979"/>
        <w:gridCol w:w="778"/>
      </w:tblGrid>
      <w:tr w14:paraId="7B2F8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82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413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检查保养项目及内容</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9C059">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保养</w:t>
            </w:r>
          </w:p>
          <w:p w14:paraId="65BC93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周期</w:t>
            </w:r>
          </w:p>
        </w:tc>
      </w:tr>
      <w:tr w14:paraId="55D60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CBF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消防供配电设施</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4D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消防配电柜（箱）</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3B06F4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试验主、备电切换功能；消防电源主、备电源供电能力测试</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B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05519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0D7CA">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24FA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联动实验</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F4C09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试验非消防电源的联动切断功能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357A2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2D843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63B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火灾自动报警系统</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1E54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火灾探测器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5C06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试验报警功能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0A4E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3BE49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73A71">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2C1D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手动报警按钮</w:t>
            </w:r>
          </w:p>
        </w:tc>
        <w:tc>
          <w:tcPr>
            <w:tcW w:w="3979" w:type="dxa"/>
            <w:tcBorders>
              <w:top w:val="nil"/>
              <w:left w:val="nil"/>
              <w:bottom w:val="nil"/>
              <w:right w:val="nil"/>
            </w:tcBorders>
            <w:shd w:val="clear" w:color="auto" w:fill="auto"/>
            <w:noWrap/>
            <w:vAlign w:val="bottom"/>
          </w:tcPr>
          <w:p w14:paraId="4E8270E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试验报警功能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16F35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78B54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EEBEA">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0D84A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监管装置</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248AB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试验监管装置报警功能，屏蔽信息显示功能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9874B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384F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0588E">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094A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警报装置</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875A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试验警报功能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F0CE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7EE8D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5C093">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5E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报警控制器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E02C2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试验火警报警、故障报警、火警优先、打印机打印、自检、消音等功能，火灾显示盘和CRT显示屏的报警、显示功能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AD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5EA51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834C5">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F5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消防联动控制器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D74E0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试验联动控制器及控制模块的手动、自动联动控制功能，试验控制器显示功能，试验电源部分主、备电源切换功能，备用电源充、放电功能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49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3F754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EE4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消防供水设施</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6E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消防水池</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3D905D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核对储水量、自动进水阀进水功能，液位检测装置报警功能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18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7AA77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7594E">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9A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消防水箱</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9D5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核对储水量、自动进水阀进水功能、模拟消防水箱出水，测试消防水箱供水能力、液位检测装置报警功能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E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180A5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EA032">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B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稳（增）压泵及气压水罐</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857ED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模拟系统渗漏，测试稳压泵、增压泵及气压水罐稳压、增压能力，自动启泵、停泵及联动启动主泵的压力工况，主、备泵切换功能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E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58606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A63BE">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860D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消防水泵及控制柜</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50F9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试验手动/自动启泵功能和主、备泵切换功能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1EF7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72B86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68BA1">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56B8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水泵接合器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D992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外观及附件完整情况，标识。</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2BA0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30AD9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8440F">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AA18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阀门</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FE0EB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试验控制阀门启闭功能、减压装置减压功能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9DD7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438AD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9B8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消火栓（消防炮）灭火系统</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8AFA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室内消火栓</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718E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试验屋顶消火栓出水压力、静压</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AEF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51611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601DD">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6329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消防水喉（自救卷盘）</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884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射水实验</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259AB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7B0D4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CF948">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FF20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消火栓按钮</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4B9F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试验信号反馈功能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DD30F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7B971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3A4B8">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A7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联动控制功能</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8E2C8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自动方式下，分别利用远距离启泵按钮、消防联动控制盘控制按钮启动消防水泵，测试最不利点消火栓（消防炮）出水压力；具有火灾探测控制功能的消防炮系统，应模拟自动启动</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3E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25789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AAE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自动喷水灭火系统</w:t>
            </w:r>
          </w:p>
        </w:tc>
        <w:tc>
          <w:tcPr>
            <w:tcW w:w="2309" w:type="dxa"/>
            <w:tcBorders>
              <w:top w:val="nil"/>
              <w:left w:val="nil"/>
              <w:bottom w:val="nil"/>
              <w:right w:val="nil"/>
            </w:tcBorders>
            <w:shd w:val="clear" w:color="auto" w:fill="auto"/>
            <w:noWrap/>
            <w:vAlign w:val="center"/>
          </w:tcPr>
          <w:p w14:paraId="56A8A5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报警阀组</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D92AD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试验报警阀组试验排放阀排水功能，压力开关、水力警铃报警功能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F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季</w:t>
            </w:r>
          </w:p>
        </w:tc>
      </w:tr>
      <w:tr w14:paraId="26C3B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FC59F">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3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末端试水装置</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81FEA1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试验末端放水测试工作压力、水流指示器、压力开关动作信号、水质情况，楼层末端试验阀功能试验</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E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季</w:t>
            </w:r>
          </w:p>
        </w:tc>
      </w:tr>
      <w:tr w14:paraId="5BD99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5CC9E">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CC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探测、报警装置</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8FF785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测试火灾探测传动装置的火灾探测及控制功能、手动控制装置控制功能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14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68C79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6C87D">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3B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联动控制功能</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11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在系统末端放水或排气，进行系统联动功能试验，测试水流指示器、联动控制功能应模拟系统自动启动</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C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22E0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CD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机械加压送风系统</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4030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送风口</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D30A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测试手动/自动开启功能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21D3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半年</w:t>
            </w:r>
          </w:p>
        </w:tc>
      </w:tr>
      <w:tr w14:paraId="16362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E12ED">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9A2BA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送风机</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F311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测试手动/自动启动、停止功能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BCBE8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季</w:t>
            </w:r>
          </w:p>
        </w:tc>
      </w:tr>
      <w:tr w14:paraId="2BF61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1FD9B">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3F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送风量、风速、风压</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8E4B3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测试最大负荷状态下，系统送风量、风速、风压</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2A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4AC2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072F5">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C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联动控制功能</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BCFEBE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通过报警联动，检查防火阀、送风自动开启和启动功能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E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08642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A08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机械排烟系统</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03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排烟阀、电动排烟阀、排烟防火阀</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2E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测试排烟阀、排烟防火阀手动/自动开启功能，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0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半年</w:t>
            </w:r>
          </w:p>
        </w:tc>
      </w:tr>
      <w:tr w14:paraId="568FE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79461">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69B1E73">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自动排烟窗、排</w:t>
            </w:r>
          </w:p>
          <w:p w14:paraId="7063843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烟风机、活动挡烟垂壁</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DA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测试手动/自动启动、排烟防火阀联动停止功能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EA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季</w:t>
            </w:r>
          </w:p>
        </w:tc>
      </w:tr>
      <w:tr w14:paraId="4477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6E672">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918B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排烟风量、风速</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B7B9F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测试最大负荷状态下，系统排烟风量、风速</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01B3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1074A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44D04">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3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联动控制功能</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11E2A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通过报警联动，检查电动挡烟垂壁、电动排烟阀、电动排烟窗的功能，检查排烟风机的性能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7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62CFE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2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80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应急照明系统</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C079A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切断正常供电，测量应急灯具照度、电源切换、充电、放电功能；测试应急电源供电时间；通过报警联动，检查应急灯具自动投入功能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1D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r w14:paraId="27004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E0E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应急广播系统</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FD53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扬声器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BFE8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测量音量、音质</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21014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4F169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0CDE2">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4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功放、卡座、分配盘</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1AFA1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测试卡座的播音、录音功能，测试功放的扩音功能，测试分配盘的选层广播功能，测试合用广播系统应急强制切换功能，测试主、备扩音机切换功能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1B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1025F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7DF73">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65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联动控制功能</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193028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通过报警联动，检查合用广播系统应急强制切换功能、扬声器播音质量及音量，卡座录音功能，分配盘分区及选层广播功能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C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60116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4E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消防专用电话</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BA6C5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测试消防电话主机与电话分机、插扎电话之间通话质量：电话主机录音功能；拨打</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119</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7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0EC5F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18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防火分隔</w:t>
            </w: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D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防火门</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698D04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试验非电动防火门的启闭功能及密封性能，测试电动防火门自动、现场释放功能及信号反馈功能，通过报警联动，检查电动防火门释放功能、喷水冷却装置的联动启动功能</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6E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55614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6CCAD">
            <w:pPr>
              <w:jc w:val="center"/>
              <w:rPr>
                <w:rFonts w:hint="eastAsia" w:ascii="宋体" w:hAnsi="宋体" w:eastAsia="宋体" w:cs="宋体"/>
                <w:i w:val="0"/>
                <w:iCs w:val="0"/>
                <w:color w:val="000000"/>
                <w:sz w:val="24"/>
                <w:szCs w:val="24"/>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B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防火卷帘</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65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试验防火卷帘的手动、机械应急和自动控制功能、信号反馈功能、封闭性能，通过报警联动，检查防火卷帘门自动释放功能及喷水冷却装置的联动启动功能，测试有延时功能的防火卷帘的延时时间、声光指示</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9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r>
      <w:tr w14:paraId="140EE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4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2E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灭火器</w:t>
            </w:r>
          </w:p>
        </w:tc>
        <w:tc>
          <w:tcPr>
            <w:tcW w:w="3979"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1188A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核对选型、压力和有效期对同批次的灭火器随机抽取一定数量进行灭火、喷射等</w:t>
            </w:r>
            <w:r>
              <w:rPr>
                <w:rFonts w:hint="eastAsia" w:ascii="宋体" w:hAnsi="宋体" w:cs="宋体"/>
                <w:i w:val="0"/>
                <w:iCs w:val="0"/>
                <w:color w:val="000000"/>
                <w:kern w:val="0"/>
                <w:sz w:val="24"/>
                <w:szCs w:val="24"/>
                <w:u w:val="none"/>
                <w:lang w:val="en-US" w:eastAsia="zh-CN" w:bidi="ar"/>
              </w:rPr>
              <w:t>性能试验</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A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r>
    </w:tbl>
    <w:p w14:paraId="737AABDF">
      <w:pPr>
        <w:pStyle w:val="2"/>
        <w:rPr>
          <w:rFonts w:hint="eastAsia"/>
          <w:lang w:val="en-US" w:eastAsia="zh-CN"/>
        </w:rPr>
      </w:pPr>
    </w:p>
    <w:p w14:paraId="2155C3E1">
      <w:pPr>
        <w:rPr>
          <w:rFonts w:hint="eastAsia" w:eastAsia="宋体"/>
          <w:b/>
          <w:bCs/>
          <w:sz w:val="28"/>
          <w:szCs w:val="36"/>
          <w:lang w:val="en-US" w:eastAsia="zh-CN"/>
        </w:rPr>
      </w:pPr>
      <w:r>
        <w:rPr>
          <w:rFonts w:hint="eastAsia"/>
          <w:b/>
          <w:bCs/>
          <w:sz w:val="28"/>
          <w:szCs w:val="36"/>
          <w:highlight w:val="yellow"/>
          <w:lang w:val="en-US" w:eastAsia="zh-CN"/>
        </w:rPr>
        <w:t>注：</w:t>
      </w:r>
      <w:bookmarkStart w:id="437" w:name="_GoBack"/>
      <w:bookmarkEnd w:id="437"/>
      <w:r>
        <w:rPr>
          <w:rFonts w:hint="eastAsia"/>
          <w:b/>
          <w:bCs/>
          <w:sz w:val="28"/>
          <w:szCs w:val="36"/>
          <w:highlight w:val="yellow"/>
          <w:lang w:val="en-US" w:eastAsia="zh-CN"/>
        </w:rPr>
        <w:t>维保结束前需出具一份桐庐县青少年宫的消防设施检测报告。</w:t>
      </w:r>
    </w:p>
    <w:p w14:paraId="31979B76">
      <w:pPr>
        <w:keepNext w:val="0"/>
        <w:keepLines w:val="0"/>
        <w:pageBreakBefore w:val="0"/>
        <w:widowControl w:val="0"/>
        <w:kinsoku/>
        <w:wordWrap/>
        <w:overflowPunct/>
        <w:topLinePunct w:val="0"/>
        <w:autoSpaceDE/>
        <w:autoSpaceDN/>
        <w:bidi w:val="0"/>
        <w:adjustRightInd w:val="0"/>
        <w:snapToGrid/>
        <w:spacing w:before="157" w:beforeLines="50" w:after="313" w:afterLines="100" w:line="560" w:lineRule="exact"/>
        <w:ind w:firstLine="482" w:firstLineChars="200"/>
        <w:textAlignment w:val="auto"/>
        <w:outlineLvl w:val="0"/>
        <w:rPr>
          <w:rFonts w:hint="eastAsia" w:ascii="宋体" w:hAnsi="宋体" w:eastAsia="宋体" w:cs="宋体"/>
          <w:b/>
          <w:sz w:val="24"/>
          <w:lang w:val="en-US" w:eastAsia="zh-CN"/>
        </w:rPr>
      </w:pPr>
      <w:r>
        <w:rPr>
          <w:rFonts w:hint="eastAsia" w:ascii="宋体" w:hAnsi="宋体" w:eastAsia="宋体" w:cs="宋体"/>
          <w:b/>
          <w:sz w:val="24"/>
          <w:lang w:val="en-US" w:eastAsia="zh-CN"/>
        </w:rPr>
        <w:t>1.</w:t>
      </w:r>
      <w:r>
        <w:rPr>
          <w:rFonts w:hint="eastAsia" w:ascii="宋体" w:hAnsi="宋体" w:cs="宋体"/>
          <w:b/>
          <w:sz w:val="24"/>
          <w:lang w:val="en-US" w:eastAsia="zh-CN"/>
        </w:rPr>
        <w:t>7</w:t>
      </w:r>
      <w:r>
        <w:rPr>
          <w:rFonts w:hint="eastAsia" w:ascii="宋体" w:hAnsi="宋体" w:eastAsia="宋体" w:cs="宋体"/>
          <w:b/>
          <w:sz w:val="24"/>
          <w:lang w:val="en-US" w:eastAsia="zh-CN"/>
        </w:rPr>
        <w:t>安全协议</w:t>
      </w:r>
    </w:p>
    <w:p w14:paraId="0151DAA0">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1.7.</w:t>
      </w:r>
      <w:r>
        <w:rPr>
          <w:rFonts w:hint="eastAsia" w:ascii="宋体" w:hAnsi="宋体" w:eastAsia="宋体" w:cs="宋体"/>
          <w:color w:val="auto"/>
          <w:kern w:val="0"/>
          <w:sz w:val="24"/>
          <w:highlight w:val="none"/>
          <w:lang w:val="en-US" w:eastAsia="zh-CN"/>
        </w:rPr>
        <w:t>1</w:t>
      </w:r>
      <w:r>
        <w:rPr>
          <w:rFonts w:hint="eastAsia" w:ascii="宋体" w:hAnsi="宋体" w:cs="宋体"/>
          <w:color w:val="auto"/>
          <w:kern w:val="0"/>
          <w:sz w:val="24"/>
          <w:highlight w:val="none"/>
          <w:lang w:val="en-US" w:eastAsia="zh-CN"/>
        </w:rPr>
        <w:t>投标单位</w:t>
      </w:r>
      <w:r>
        <w:rPr>
          <w:rFonts w:hint="eastAsia" w:ascii="宋体" w:hAnsi="宋体" w:eastAsia="宋体" w:cs="宋体"/>
          <w:color w:val="auto"/>
          <w:kern w:val="0"/>
          <w:sz w:val="24"/>
          <w:highlight w:val="none"/>
          <w:lang w:val="en-US" w:eastAsia="zh-CN"/>
        </w:rPr>
        <w:t>应负责其下属人员所有操作及管理人员的安全培训，如发生任何安全事故（人身安全及设备安全事故），应由投标</w:t>
      </w:r>
      <w:r>
        <w:rPr>
          <w:rFonts w:hint="eastAsia" w:ascii="宋体" w:hAnsi="宋体" w:eastAsia="宋体" w:cs="宋体"/>
          <w:color w:val="auto"/>
          <w:kern w:val="0"/>
          <w:sz w:val="24"/>
          <w:highlight w:val="none"/>
          <w:lang w:val="zh-CN" w:eastAsia="zh-CN"/>
        </w:rPr>
        <w:t>供应商</w:t>
      </w:r>
      <w:r>
        <w:rPr>
          <w:rFonts w:hint="eastAsia" w:ascii="宋体" w:hAnsi="宋体" w:eastAsia="宋体" w:cs="宋体"/>
          <w:color w:val="auto"/>
          <w:kern w:val="0"/>
          <w:sz w:val="24"/>
          <w:highlight w:val="none"/>
          <w:lang w:val="en-US" w:eastAsia="zh-CN"/>
        </w:rPr>
        <w:t>负责，与</w:t>
      </w:r>
      <w:r>
        <w:rPr>
          <w:rFonts w:hint="eastAsia" w:ascii="宋体" w:hAnsi="宋体" w:cs="宋体"/>
          <w:color w:val="auto"/>
          <w:kern w:val="0"/>
          <w:sz w:val="24"/>
          <w:highlight w:val="none"/>
          <w:lang w:val="en-US" w:eastAsia="zh-CN"/>
        </w:rPr>
        <w:t>采购单位</w:t>
      </w:r>
      <w:r>
        <w:rPr>
          <w:rFonts w:hint="eastAsia" w:ascii="宋体" w:hAnsi="宋体" w:eastAsia="宋体" w:cs="宋体"/>
          <w:color w:val="auto"/>
          <w:kern w:val="0"/>
          <w:sz w:val="24"/>
          <w:highlight w:val="none"/>
          <w:lang w:val="en-US" w:eastAsia="zh-CN"/>
        </w:rPr>
        <w:t>无关。</w:t>
      </w:r>
    </w:p>
    <w:p w14:paraId="13935ACC">
      <w:pPr>
        <w:keepNext w:val="0"/>
        <w:keepLines w:val="0"/>
        <w:pageBreakBefore w:val="0"/>
        <w:widowControl w:val="0"/>
        <w:kinsoku/>
        <w:wordWrap/>
        <w:overflowPunct/>
        <w:topLinePunct w:val="0"/>
        <w:autoSpaceDE/>
        <w:autoSpaceDN/>
        <w:bidi w:val="0"/>
        <w:adjustRightInd w:val="0"/>
        <w:snapToGrid w:val="0"/>
        <w:spacing w:before="0" w:beforeLines="50" w:after="0" w:afterLines="50" w:line="432" w:lineRule="auto"/>
        <w:ind w:firstLine="480" w:firstLineChars="200"/>
        <w:textAlignment w:val="auto"/>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1.7.</w:t>
      </w:r>
      <w:r>
        <w:rPr>
          <w:rFonts w:hint="eastAsia" w:ascii="宋体" w:hAnsi="宋体" w:eastAsia="宋体" w:cs="宋体"/>
          <w:color w:val="auto"/>
          <w:kern w:val="0"/>
          <w:sz w:val="24"/>
          <w:highlight w:val="none"/>
          <w:lang w:val="en-US" w:eastAsia="zh-CN"/>
        </w:rPr>
        <w:t>2投标</w:t>
      </w:r>
      <w:r>
        <w:rPr>
          <w:rFonts w:hint="eastAsia" w:ascii="宋体" w:hAnsi="宋体" w:eastAsia="宋体" w:cs="宋体"/>
          <w:color w:val="auto"/>
          <w:kern w:val="0"/>
          <w:sz w:val="24"/>
          <w:highlight w:val="none"/>
          <w:lang w:val="zh-CN" w:eastAsia="zh-CN"/>
        </w:rPr>
        <w:t>供应商</w:t>
      </w:r>
      <w:r>
        <w:rPr>
          <w:rFonts w:hint="eastAsia" w:ascii="宋体" w:hAnsi="宋体" w:eastAsia="宋体" w:cs="宋体"/>
          <w:color w:val="auto"/>
          <w:kern w:val="0"/>
          <w:sz w:val="24"/>
          <w:highlight w:val="none"/>
          <w:lang w:val="en-US" w:eastAsia="zh-CN"/>
        </w:rPr>
        <w:t>必须按规定办理有关保险。</w:t>
      </w:r>
      <w:r>
        <w:rPr>
          <w:rFonts w:hint="eastAsia" w:ascii="宋体" w:hAnsi="宋体" w:cs="宋体"/>
          <w:color w:val="auto"/>
          <w:kern w:val="0"/>
          <w:sz w:val="24"/>
          <w:highlight w:val="none"/>
          <w:lang w:val="en-US" w:eastAsia="zh-CN"/>
        </w:rPr>
        <w:t>投标单位</w:t>
      </w:r>
      <w:r>
        <w:rPr>
          <w:rFonts w:hint="eastAsia" w:ascii="宋体" w:hAnsi="宋体" w:eastAsia="宋体" w:cs="宋体"/>
          <w:color w:val="auto"/>
          <w:kern w:val="0"/>
          <w:sz w:val="24"/>
          <w:highlight w:val="none"/>
          <w:lang w:val="en-US" w:eastAsia="zh-CN"/>
        </w:rPr>
        <w:t>应自行承担合同履行过程中的安全生产责任，如有任何人身意外伤害责任，均与</w:t>
      </w:r>
      <w:r>
        <w:rPr>
          <w:rFonts w:hint="eastAsia" w:ascii="宋体" w:hAnsi="宋体" w:cs="宋体"/>
          <w:color w:val="auto"/>
          <w:kern w:val="0"/>
          <w:sz w:val="24"/>
          <w:highlight w:val="none"/>
          <w:lang w:val="en-US" w:eastAsia="zh-CN"/>
        </w:rPr>
        <w:t>采购单位</w:t>
      </w:r>
      <w:r>
        <w:rPr>
          <w:rFonts w:hint="eastAsia" w:ascii="宋体" w:hAnsi="宋体" w:eastAsia="宋体" w:cs="宋体"/>
          <w:color w:val="auto"/>
          <w:kern w:val="0"/>
          <w:sz w:val="24"/>
          <w:highlight w:val="none"/>
          <w:lang w:val="en-US" w:eastAsia="zh-CN"/>
        </w:rPr>
        <w:t>无关。</w:t>
      </w:r>
    </w:p>
    <w:p w14:paraId="034DA4BC">
      <w:pPr>
        <w:keepNext w:val="0"/>
        <w:keepLines w:val="0"/>
        <w:pageBreakBefore w:val="0"/>
        <w:widowControl w:val="0"/>
        <w:kinsoku/>
        <w:wordWrap/>
        <w:overflowPunct/>
        <w:topLinePunct w:val="0"/>
        <w:autoSpaceDE/>
        <w:autoSpaceDN/>
        <w:bidi w:val="0"/>
        <w:adjustRightInd w:val="0"/>
        <w:snapToGrid/>
        <w:spacing w:after="157" w:afterLines="50" w:line="560" w:lineRule="exact"/>
        <w:ind w:firstLine="482" w:firstLineChars="200"/>
        <w:textAlignment w:val="auto"/>
        <w:outlineLvl w:val="0"/>
        <w:rPr>
          <w:rFonts w:hint="eastAsia" w:ascii="宋体" w:hAnsi="宋体" w:eastAsia="宋体" w:cs="宋体"/>
          <w:b/>
          <w:sz w:val="24"/>
          <w:lang w:val="en-US" w:eastAsia="zh-CN"/>
        </w:rPr>
      </w:pPr>
      <w:r>
        <w:rPr>
          <w:rFonts w:hint="eastAsia" w:ascii="宋体" w:hAnsi="宋体" w:cs="宋体"/>
          <w:b/>
          <w:sz w:val="24"/>
          <w:lang w:val="en-US" w:eastAsia="zh-CN"/>
        </w:rPr>
        <w:t xml:space="preserve">1.8 </w:t>
      </w:r>
      <w:r>
        <w:rPr>
          <w:rFonts w:hint="eastAsia" w:ascii="宋体" w:hAnsi="宋体" w:eastAsia="宋体" w:cs="宋体"/>
          <w:b/>
          <w:sz w:val="24"/>
          <w:lang w:val="en-US" w:eastAsia="zh-CN"/>
        </w:rPr>
        <w:t>项目质量目标</w:t>
      </w:r>
    </w:p>
    <w:p w14:paraId="7EBB1819">
      <w:pPr>
        <w:snapToGrid w:val="0"/>
        <w:spacing w:line="360" w:lineRule="auto"/>
        <w:ind w:firstLine="480" w:firstLineChars="200"/>
        <w:rPr>
          <w:rFonts w:hint="eastAsia"/>
          <w:lang w:val="en-US" w:eastAsia="zh-CN"/>
        </w:rPr>
      </w:pPr>
      <w:r>
        <w:rPr>
          <w:rFonts w:hint="eastAsia" w:ascii="宋体" w:hAnsi="宋体" w:eastAsia="宋体" w:cs="宋体"/>
          <w:color w:val="auto"/>
          <w:kern w:val="0"/>
          <w:sz w:val="24"/>
          <w:highlight w:val="none"/>
          <w:lang w:val="en-US" w:eastAsia="zh-CN"/>
        </w:rPr>
        <w:t>符合</w:t>
      </w:r>
      <w:r>
        <w:rPr>
          <w:rFonts w:hint="eastAsia" w:ascii="宋体" w:hAnsi="宋体" w:cs="宋体"/>
          <w:color w:val="auto"/>
          <w:kern w:val="0"/>
          <w:sz w:val="24"/>
          <w:highlight w:val="none"/>
          <w:lang w:val="en-US" w:eastAsia="zh-CN"/>
        </w:rPr>
        <w:t>国家消防</w:t>
      </w:r>
      <w:r>
        <w:rPr>
          <w:rFonts w:hint="eastAsia" w:ascii="宋体" w:hAnsi="宋体" w:eastAsia="宋体" w:cs="宋体"/>
          <w:color w:val="auto"/>
          <w:kern w:val="0"/>
          <w:sz w:val="24"/>
          <w:highlight w:val="none"/>
          <w:lang w:val="en-US" w:eastAsia="zh-CN"/>
        </w:rPr>
        <w:t>验收标准。</w:t>
      </w:r>
    </w:p>
    <w:bookmarkEnd w:id="417"/>
    <w:bookmarkEnd w:id="418"/>
    <w:bookmarkEnd w:id="419"/>
    <w:bookmarkEnd w:id="420"/>
    <w:bookmarkEnd w:id="421"/>
    <w:p w14:paraId="3394635F">
      <w:pPr>
        <w:keepNext w:val="0"/>
        <w:keepLines w:val="0"/>
        <w:pageBreakBefore w:val="0"/>
        <w:widowControl w:val="0"/>
        <w:kinsoku/>
        <w:wordWrap/>
        <w:overflowPunct/>
        <w:topLinePunct w:val="0"/>
        <w:autoSpaceDE/>
        <w:autoSpaceDN/>
        <w:bidi w:val="0"/>
        <w:adjustRightInd w:val="0"/>
        <w:snapToGrid/>
        <w:spacing w:after="157" w:afterLines="50" w:line="560" w:lineRule="exact"/>
        <w:ind w:firstLine="482" w:firstLineChars="200"/>
        <w:textAlignment w:val="auto"/>
        <w:outlineLvl w:val="0"/>
        <w:rPr>
          <w:rFonts w:hint="eastAsia" w:ascii="宋体" w:hAnsi="宋体" w:eastAsia="宋体" w:cs="宋体"/>
          <w:b/>
          <w:sz w:val="24"/>
          <w:lang w:val="en-US" w:eastAsia="zh-CN"/>
        </w:rPr>
      </w:pPr>
      <w:bookmarkStart w:id="422" w:name="_Toc2375"/>
      <w:bookmarkStart w:id="423" w:name="_Toc3079"/>
      <w:bookmarkStart w:id="424" w:name="_Toc5698"/>
      <w:bookmarkStart w:id="425" w:name="_Toc24662"/>
      <w:bookmarkStart w:id="426" w:name="_Toc8586"/>
      <w:r>
        <w:rPr>
          <w:rFonts w:hint="eastAsia" w:ascii="宋体" w:hAnsi="宋体" w:eastAsia="宋体" w:cs="宋体"/>
          <w:b/>
          <w:sz w:val="24"/>
          <w:lang w:val="en-US" w:eastAsia="zh-CN"/>
        </w:rPr>
        <w:t>1.</w:t>
      </w:r>
      <w:r>
        <w:rPr>
          <w:rFonts w:hint="eastAsia" w:ascii="宋体" w:hAnsi="宋体" w:cs="宋体"/>
          <w:b/>
          <w:sz w:val="24"/>
          <w:lang w:val="en-US" w:eastAsia="zh-CN"/>
        </w:rPr>
        <w:t>9</w:t>
      </w:r>
      <w:r>
        <w:rPr>
          <w:rFonts w:hint="eastAsia" w:ascii="宋体" w:hAnsi="宋体" w:eastAsia="宋体" w:cs="宋体"/>
          <w:b/>
          <w:sz w:val="24"/>
          <w:lang w:val="en-US" w:eastAsia="zh-CN"/>
        </w:rPr>
        <w:t xml:space="preserve"> 违约责任</w:t>
      </w:r>
      <w:bookmarkEnd w:id="422"/>
      <w:bookmarkEnd w:id="423"/>
      <w:bookmarkEnd w:id="424"/>
      <w:bookmarkEnd w:id="425"/>
      <w:bookmarkEnd w:id="426"/>
    </w:p>
    <w:p w14:paraId="4B1F4846">
      <w:pPr>
        <w:spacing w:line="56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9</w:t>
      </w:r>
      <w:r>
        <w:rPr>
          <w:rFonts w:hint="eastAsia" w:ascii="宋体" w:hAnsi="宋体" w:eastAsia="宋体" w:cs="宋体"/>
          <w:sz w:val="24"/>
        </w:rPr>
        <w:t>.1 除不可抗力外，如果乙方没有按照本合同约定的期限、地点和方式履行，那么甲方可要求乙方支付违约金，违约金按每迟延履行一日的应提供而未提供服务价格的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%；迟延履行的违约金计算数额达到前述最高限额之日起，甲方有权在要求乙方支付违约金的同时，书面通知乙方解除本合同；</w:t>
      </w:r>
    </w:p>
    <w:p w14:paraId="1DF2EC00">
      <w:pPr>
        <w:spacing w:line="56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9</w:t>
      </w:r>
      <w:r>
        <w:rPr>
          <w:rFonts w:hint="eastAsia" w:ascii="宋体" w:hAnsi="宋体" w:eastAsia="宋体" w:cs="宋体"/>
          <w:sz w:val="24"/>
        </w:rPr>
        <w:t>.2 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7F4D69A2">
      <w:pPr>
        <w:spacing w:line="56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9</w:t>
      </w:r>
      <w:r>
        <w:rPr>
          <w:rFonts w:hint="eastAsia" w:ascii="宋体" w:hAnsi="宋体" w:eastAsia="宋体" w:cs="宋体"/>
          <w:sz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0B38CDA">
      <w:pPr>
        <w:spacing w:line="56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9</w:t>
      </w:r>
      <w:r>
        <w:rPr>
          <w:rFonts w:hint="eastAsia" w:ascii="宋体" w:hAnsi="宋体" w:eastAsia="宋体" w:cs="宋体"/>
          <w:sz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560E169">
      <w:pPr>
        <w:spacing w:line="560" w:lineRule="exact"/>
        <w:ind w:firstLine="480" w:firstLineChars="200"/>
        <w:outlineLvl w:val="9"/>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9</w:t>
      </w:r>
      <w:r>
        <w:rPr>
          <w:rFonts w:hint="eastAsia" w:ascii="宋体" w:hAnsi="宋体" w:eastAsia="宋体" w:cs="宋体"/>
          <w:sz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D188A32">
      <w:pPr>
        <w:spacing w:line="560" w:lineRule="exact"/>
        <w:ind w:firstLine="480" w:firstLineChars="200"/>
        <w:outlineLvl w:val="9"/>
        <w:rPr>
          <w:rFonts w:hint="eastAsia" w:ascii="宋体" w:hAnsi="宋体" w:eastAsia="宋体" w:cs="宋体"/>
          <w:sz w:val="24"/>
        </w:rPr>
      </w:pPr>
      <w:r>
        <w:rPr>
          <w:rFonts w:hint="eastAsia" w:ascii="宋体" w:hAnsi="宋体" w:eastAsia="宋体" w:cs="宋体"/>
          <w:sz w:val="24"/>
        </w:rPr>
        <w:t>1.</w:t>
      </w:r>
      <w:r>
        <w:rPr>
          <w:rFonts w:hint="eastAsia" w:ascii="宋体" w:hAnsi="宋体" w:cs="宋体"/>
          <w:sz w:val="24"/>
          <w:lang w:val="en-US" w:eastAsia="zh-CN"/>
        </w:rPr>
        <w:t>9</w:t>
      </w:r>
      <w:r>
        <w:rPr>
          <w:rFonts w:hint="eastAsia" w:ascii="宋体" w:hAnsi="宋体" w:eastAsia="宋体" w:cs="宋体"/>
          <w:sz w:val="24"/>
        </w:rPr>
        <w:t>.6 如果出现采购监督管理部门在处理投诉事项期间，书面通知甲方暂停采购活动的情形，或者询问或质疑事项可能影响中标结果的，导致甲方中止履行合同的情形，均不视为甲方违约；</w:t>
      </w:r>
    </w:p>
    <w:p w14:paraId="0E752A88">
      <w:pPr>
        <w:spacing w:line="560" w:lineRule="exact"/>
        <w:ind w:left="-420" w:leftChars="-200" w:right="-420" w:rightChars="-200" w:firstLine="720" w:firstLineChars="300"/>
        <w:outlineLvl w:val="9"/>
        <w:rPr>
          <w:rFonts w:hint="eastAsia" w:ascii="宋体" w:hAnsi="宋体" w:eastAsia="宋体" w:cs="宋体"/>
        </w:rPr>
      </w:pPr>
      <w:r>
        <w:rPr>
          <w:rFonts w:hint="eastAsia" w:ascii="宋体" w:hAnsi="宋体" w:eastAsia="宋体" w:cs="宋体"/>
          <w:sz w:val="24"/>
        </w:rPr>
        <w:t>1.</w:t>
      </w:r>
      <w:r>
        <w:rPr>
          <w:rFonts w:hint="eastAsia" w:ascii="宋体" w:hAnsi="宋体" w:cs="宋体"/>
          <w:sz w:val="24"/>
          <w:lang w:val="en-US" w:eastAsia="zh-CN"/>
        </w:rPr>
        <w:t>9</w:t>
      </w:r>
      <w:r>
        <w:rPr>
          <w:rFonts w:hint="eastAsia" w:ascii="宋体" w:hAnsi="宋体" w:eastAsia="宋体" w:cs="宋体"/>
          <w:sz w:val="24"/>
        </w:rPr>
        <w:t>.7违约责任另有约定的，从其约定。</w:t>
      </w:r>
    </w:p>
    <w:p w14:paraId="23BB47DF">
      <w:pPr>
        <w:keepNext w:val="0"/>
        <w:keepLines w:val="0"/>
        <w:pageBreakBefore w:val="0"/>
        <w:widowControl w:val="0"/>
        <w:kinsoku/>
        <w:wordWrap/>
        <w:overflowPunct/>
        <w:topLinePunct w:val="0"/>
        <w:autoSpaceDE/>
        <w:autoSpaceDN/>
        <w:bidi w:val="0"/>
        <w:adjustRightInd w:val="0"/>
        <w:snapToGrid/>
        <w:spacing w:after="157" w:afterLines="50" w:line="560" w:lineRule="exact"/>
        <w:ind w:firstLine="482" w:firstLineChars="200"/>
        <w:textAlignment w:val="auto"/>
        <w:outlineLvl w:val="9"/>
        <w:rPr>
          <w:rFonts w:hint="eastAsia" w:ascii="宋体" w:hAnsi="宋体" w:eastAsia="宋体" w:cs="宋体"/>
          <w:b/>
          <w:sz w:val="24"/>
          <w:lang w:val="en-US" w:eastAsia="zh-CN"/>
        </w:rPr>
      </w:pPr>
      <w:bookmarkStart w:id="427" w:name="_Toc9497"/>
      <w:bookmarkStart w:id="428" w:name="_Toc26807"/>
      <w:bookmarkStart w:id="429" w:name="_Toc30329"/>
      <w:bookmarkStart w:id="430" w:name="_Toc32454"/>
      <w:bookmarkStart w:id="431" w:name="_Toc18683"/>
      <w:r>
        <w:rPr>
          <w:rFonts w:hint="eastAsia" w:ascii="宋体" w:hAnsi="宋体" w:eastAsia="宋体" w:cs="宋体"/>
          <w:b/>
          <w:sz w:val="24"/>
          <w:lang w:val="en-US" w:eastAsia="zh-CN"/>
        </w:rPr>
        <w:t>1.</w:t>
      </w:r>
      <w:r>
        <w:rPr>
          <w:rFonts w:hint="eastAsia" w:ascii="宋体" w:hAnsi="宋体" w:cs="宋体"/>
          <w:b/>
          <w:sz w:val="24"/>
          <w:lang w:val="en-US" w:eastAsia="zh-CN"/>
        </w:rPr>
        <w:t>10</w:t>
      </w:r>
      <w:r>
        <w:rPr>
          <w:rFonts w:hint="eastAsia" w:ascii="宋体" w:hAnsi="宋体" w:eastAsia="宋体" w:cs="宋体"/>
          <w:b/>
          <w:sz w:val="24"/>
          <w:lang w:val="en-US" w:eastAsia="zh-CN"/>
        </w:rPr>
        <w:t>合同争议的解决</w:t>
      </w:r>
      <w:bookmarkEnd w:id="427"/>
      <w:bookmarkEnd w:id="428"/>
      <w:bookmarkEnd w:id="429"/>
      <w:bookmarkEnd w:id="430"/>
      <w:bookmarkEnd w:id="431"/>
    </w:p>
    <w:p w14:paraId="11B2CDF7">
      <w:pPr>
        <w:spacing w:line="560" w:lineRule="exact"/>
        <w:ind w:left="-420" w:leftChars="-200" w:right="-420" w:rightChars="-200" w:firstLine="600" w:firstLineChars="250"/>
        <w:outlineLvl w:val="9"/>
        <w:rPr>
          <w:rFonts w:hint="eastAsia" w:ascii="宋体" w:hAnsi="宋体" w:eastAsia="宋体" w:cs="宋体"/>
          <w:sz w:val="24"/>
        </w:rPr>
      </w:pPr>
      <w:r>
        <w:rPr>
          <w:rFonts w:hint="eastAsia" w:ascii="宋体" w:hAnsi="宋体" w:eastAsia="宋体" w:cs="宋体"/>
          <w:sz w:val="24"/>
        </w:rPr>
        <w:t>本合同履行过程中发生的任何争议，双方当事人均可通过和解或者调解解决；不愿和解、调解或者和解、调解不成的，可以选择向</w:t>
      </w:r>
      <w:r>
        <w:rPr>
          <w:rFonts w:hint="eastAsia" w:ascii="宋体" w:hAnsi="宋体" w:eastAsia="宋体" w:cs="宋体"/>
          <w:sz w:val="24"/>
          <w:lang w:eastAsia="zh-CN"/>
        </w:rPr>
        <w:t>桐庐县</w:t>
      </w:r>
      <w:r>
        <w:rPr>
          <w:rFonts w:hint="eastAsia" w:ascii="宋体" w:hAnsi="宋体" w:eastAsia="宋体" w:cs="宋体"/>
          <w:sz w:val="24"/>
        </w:rPr>
        <w:t>人民法院起诉。</w:t>
      </w:r>
    </w:p>
    <w:p w14:paraId="365EDFD5">
      <w:pPr>
        <w:keepNext w:val="0"/>
        <w:keepLines w:val="0"/>
        <w:pageBreakBefore w:val="0"/>
        <w:widowControl w:val="0"/>
        <w:kinsoku/>
        <w:wordWrap/>
        <w:overflowPunct/>
        <w:topLinePunct w:val="0"/>
        <w:autoSpaceDE/>
        <w:autoSpaceDN/>
        <w:bidi w:val="0"/>
        <w:adjustRightInd w:val="0"/>
        <w:snapToGrid/>
        <w:spacing w:after="157" w:afterLines="50" w:line="560" w:lineRule="exact"/>
        <w:ind w:firstLine="482" w:firstLineChars="200"/>
        <w:textAlignment w:val="auto"/>
        <w:outlineLvl w:val="9"/>
        <w:rPr>
          <w:rFonts w:hint="eastAsia" w:ascii="宋体" w:hAnsi="宋体" w:eastAsia="宋体" w:cs="宋体"/>
          <w:b/>
          <w:sz w:val="24"/>
          <w:lang w:val="en-US" w:eastAsia="zh-CN"/>
        </w:rPr>
      </w:pPr>
      <w:bookmarkStart w:id="432" w:name="_Toc12273"/>
      <w:bookmarkStart w:id="433" w:name="_Toc16417"/>
      <w:bookmarkStart w:id="434" w:name="_Toc23784"/>
      <w:bookmarkStart w:id="435" w:name="_Toc15827"/>
      <w:bookmarkStart w:id="436" w:name="_Toc26227"/>
      <w:r>
        <w:rPr>
          <w:rFonts w:hint="eastAsia" w:ascii="宋体" w:hAnsi="宋体" w:eastAsia="宋体" w:cs="宋体"/>
          <w:b/>
          <w:sz w:val="24"/>
          <w:lang w:val="en-US" w:eastAsia="zh-CN"/>
        </w:rPr>
        <w:t>1.</w:t>
      </w:r>
      <w:r>
        <w:rPr>
          <w:rFonts w:hint="eastAsia" w:ascii="宋体" w:hAnsi="宋体" w:cs="宋体"/>
          <w:b/>
          <w:sz w:val="24"/>
          <w:lang w:val="en-US" w:eastAsia="zh-CN"/>
        </w:rPr>
        <w:t>11</w:t>
      </w:r>
      <w:r>
        <w:rPr>
          <w:rFonts w:hint="eastAsia" w:ascii="宋体" w:hAnsi="宋体" w:eastAsia="宋体" w:cs="宋体"/>
          <w:b/>
          <w:sz w:val="24"/>
          <w:lang w:val="en-US" w:eastAsia="zh-CN"/>
        </w:rPr>
        <w:t xml:space="preserve"> 合同生效</w:t>
      </w:r>
      <w:bookmarkEnd w:id="432"/>
      <w:bookmarkEnd w:id="433"/>
      <w:bookmarkEnd w:id="434"/>
      <w:bookmarkEnd w:id="435"/>
      <w:bookmarkEnd w:id="436"/>
    </w:p>
    <w:p w14:paraId="4C1B73C2">
      <w:pPr>
        <w:spacing w:line="560" w:lineRule="exact"/>
        <w:ind w:firstLine="480" w:firstLineChars="200"/>
        <w:outlineLvl w:val="9"/>
        <w:rPr>
          <w:rFonts w:hint="eastAsia" w:ascii="宋体" w:hAnsi="宋体" w:eastAsia="宋体" w:cs="宋体"/>
          <w:sz w:val="24"/>
        </w:rPr>
      </w:pPr>
      <w:r>
        <w:rPr>
          <w:rFonts w:hint="eastAsia" w:ascii="宋体" w:hAnsi="宋体" w:eastAsia="宋体" w:cs="宋体"/>
          <w:sz w:val="24"/>
        </w:rPr>
        <w:t>本合同自双方当事人盖章或者签字时生效。</w:t>
      </w:r>
    </w:p>
    <w:p w14:paraId="0ED84397">
      <w:pPr>
        <w:keepNext w:val="0"/>
        <w:keepLines w:val="0"/>
        <w:pageBreakBefore w:val="0"/>
        <w:widowControl w:val="0"/>
        <w:kinsoku/>
        <w:wordWrap/>
        <w:overflowPunct/>
        <w:topLinePunct w:val="0"/>
        <w:autoSpaceDE/>
        <w:autoSpaceDN/>
        <w:bidi w:val="0"/>
        <w:adjustRightInd w:val="0"/>
        <w:snapToGrid/>
        <w:spacing w:after="157" w:afterLines="50" w:line="560" w:lineRule="exact"/>
        <w:ind w:firstLine="482" w:firstLineChars="200"/>
        <w:textAlignment w:val="auto"/>
        <w:outlineLvl w:val="9"/>
        <w:rPr>
          <w:rFonts w:hint="eastAsia" w:ascii="宋体" w:hAnsi="宋体" w:eastAsia="宋体" w:cs="宋体"/>
          <w:b/>
          <w:sz w:val="24"/>
          <w:lang w:val="en-US" w:eastAsia="zh-CN"/>
        </w:rPr>
      </w:pPr>
      <w:r>
        <w:rPr>
          <w:rFonts w:hint="eastAsia" w:ascii="宋体" w:hAnsi="宋体" w:eastAsia="宋体" w:cs="宋体"/>
          <w:b/>
          <w:sz w:val="24"/>
          <w:lang w:val="en-US" w:eastAsia="zh-CN"/>
        </w:rPr>
        <w:t>1.</w:t>
      </w:r>
      <w:r>
        <w:rPr>
          <w:rFonts w:hint="eastAsia" w:ascii="宋体" w:hAnsi="宋体" w:cs="宋体"/>
          <w:b/>
          <w:sz w:val="24"/>
          <w:lang w:val="en-US" w:eastAsia="zh-CN"/>
        </w:rPr>
        <w:t>12</w:t>
      </w:r>
      <w:r>
        <w:rPr>
          <w:rFonts w:hint="eastAsia" w:ascii="宋体" w:hAnsi="宋体" w:eastAsia="宋体" w:cs="宋体"/>
          <w:b/>
          <w:sz w:val="24"/>
          <w:lang w:val="en-US" w:eastAsia="zh-CN"/>
        </w:rPr>
        <w:t>合同份数</w:t>
      </w:r>
    </w:p>
    <w:p w14:paraId="109D6CF0">
      <w:pPr>
        <w:spacing w:line="560" w:lineRule="exact"/>
        <w:ind w:firstLine="480" w:firstLineChars="200"/>
        <w:outlineLvl w:val="9"/>
        <w:rPr>
          <w:rFonts w:hint="eastAsia" w:ascii="宋体" w:hAnsi="宋体" w:eastAsia="宋体" w:cs="宋体"/>
          <w:sz w:val="24"/>
        </w:rPr>
      </w:pPr>
      <w:r>
        <w:rPr>
          <w:rFonts w:hint="eastAsia" w:ascii="宋体" w:hAnsi="宋体" w:eastAsia="宋体" w:cs="宋体"/>
          <w:sz w:val="24"/>
        </w:rPr>
        <w:t>本合同正本一式</w:t>
      </w:r>
      <w:r>
        <w:rPr>
          <w:rFonts w:hint="eastAsia" w:ascii="宋体" w:hAnsi="宋体" w:eastAsia="宋体" w:cs="宋体"/>
          <w:sz w:val="24"/>
          <w:lang w:eastAsia="zh-CN"/>
        </w:rPr>
        <w:t>陆</w:t>
      </w:r>
      <w:r>
        <w:rPr>
          <w:rFonts w:hint="eastAsia" w:ascii="宋体" w:hAnsi="宋体" w:eastAsia="宋体" w:cs="宋体"/>
          <w:sz w:val="24"/>
        </w:rPr>
        <w:t>份，每份均具有同等法律效力，甲方执</w:t>
      </w:r>
      <w:r>
        <w:rPr>
          <w:rFonts w:hint="eastAsia" w:ascii="宋体" w:hAnsi="宋体" w:eastAsia="宋体" w:cs="宋体"/>
          <w:sz w:val="24"/>
          <w:lang w:eastAsia="zh-CN"/>
        </w:rPr>
        <w:t>贰</w:t>
      </w:r>
      <w:r>
        <w:rPr>
          <w:rFonts w:hint="eastAsia" w:ascii="宋体" w:hAnsi="宋体" w:eastAsia="宋体" w:cs="宋体"/>
          <w:sz w:val="24"/>
        </w:rPr>
        <w:t>份，乙方执贰份，代理公司存档贰份。</w:t>
      </w:r>
    </w:p>
    <w:p w14:paraId="6766F751">
      <w:pPr>
        <w:pStyle w:val="2"/>
        <w:rPr>
          <w:rFonts w:hint="eastAsia" w:ascii="宋体" w:hAnsi="宋体" w:eastAsia="宋体" w:cs="宋体"/>
          <w:sz w:val="24"/>
        </w:rPr>
      </w:pPr>
    </w:p>
    <w:p w14:paraId="28380ECF">
      <w:pPr>
        <w:pStyle w:val="2"/>
        <w:rPr>
          <w:rFonts w:hint="eastAsia" w:ascii="宋体" w:hAnsi="宋体" w:eastAsia="宋体" w:cs="宋体"/>
          <w:sz w:val="24"/>
        </w:rPr>
      </w:pPr>
    </w:p>
    <w:p w14:paraId="0BCACEE2">
      <w:pPr>
        <w:pStyle w:val="2"/>
        <w:outlineLvl w:val="9"/>
        <w:rPr>
          <w:rFonts w:hint="eastAsia"/>
          <w:lang w:val="zh-CN"/>
        </w:rPr>
      </w:pPr>
    </w:p>
    <w:p w14:paraId="5822467D">
      <w:pPr>
        <w:autoSpaceDE w:val="0"/>
        <w:autoSpaceDN w:val="0"/>
        <w:spacing w:line="560" w:lineRule="exact"/>
        <w:outlineLvl w:val="9"/>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b/>
          <w:sz w:val="24"/>
          <w:lang w:val="en-US" w:eastAsia="zh-CN"/>
        </w:rPr>
        <w:t>盖章</w:t>
      </w:r>
      <w:r>
        <w:rPr>
          <w:rFonts w:hint="eastAsia" w:ascii="宋体" w:hAnsi="宋体" w:eastAsia="宋体" w:cs="宋体"/>
          <w:b/>
          <w:sz w:val="24"/>
          <w:lang w:val="zh-CN"/>
        </w:rPr>
        <w:t>）</w:t>
      </w:r>
      <w:r>
        <w:rPr>
          <w:rFonts w:hint="eastAsia" w:ascii="宋体" w:hAnsi="宋体" w:eastAsia="宋体" w:cs="宋体"/>
          <w:sz w:val="24"/>
          <w:lang w:val="zh-CN"/>
        </w:rPr>
        <w:t xml:space="preserve">：                           </w:t>
      </w:r>
      <w:r>
        <w:rPr>
          <w:rFonts w:hint="eastAsia" w:ascii="宋体" w:hAnsi="宋体" w:eastAsia="宋体" w:cs="宋体"/>
          <w:b/>
          <w:sz w:val="24"/>
          <w:lang w:val="zh-CN"/>
        </w:rPr>
        <w:t>乙方（</w:t>
      </w:r>
      <w:r>
        <w:rPr>
          <w:rFonts w:hint="eastAsia" w:ascii="宋体" w:hAnsi="宋体" w:eastAsia="宋体" w:cs="宋体"/>
          <w:b/>
          <w:sz w:val="24"/>
          <w:lang w:val="en-US" w:eastAsia="zh-CN"/>
        </w:rPr>
        <w:t>盖章</w:t>
      </w:r>
      <w:r>
        <w:rPr>
          <w:rFonts w:hint="eastAsia" w:ascii="宋体" w:hAnsi="宋体" w:eastAsia="宋体" w:cs="宋体"/>
          <w:b/>
          <w:sz w:val="24"/>
          <w:lang w:val="zh-CN"/>
        </w:rPr>
        <w:t>）</w:t>
      </w:r>
      <w:r>
        <w:rPr>
          <w:rFonts w:hint="eastAsia" w:ascii="宋体" w:hAnsi="宋体" w:eastAsia="宋体" w:cs="宋体"/>
          <w:sz w:val="24"/>
          <w:lang w:val="zh-CN"/>
        </w:rPr>
        <w:t>：</w:t>
      </w:r>
    </w:p>
    <w:p w14:paraId="20BABFAC">
      <w:pPr>
        <w:autoSpaceDE w:val="0"/>
        <w:autoSpaceDN w:val="0"/>
        <w:spacing w:line="560" w:lineRule="exact"/>
        <w:outlineLvl w:val="9"/>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w:t>
      </w:r>
    </w:p>
    <w:p w14:paraId="5123E270">
      <w:pPr>
        <w:numPr>
          <w:ilvl w:val="0"/>
          <w:numId w:val="0"/>
        </w:numPr>
        <w:tabs>
          <w:tab w:val="left" w:pos="432"/>
        </w:tabs>
        <w:ind w:leftChars="0"/>
        <w:outlineLvl w:val="9"/>
        <w:rPr>
          <w:rFonts w:hint="eastAsia"/>
          <w:lang w:val="zh-CN"/>
        </w:rPr>
      </w:pPr>
    </w:p>
    <w:p w14:paraId="7028F2A8">
      <w:pPr>
        <w:autoSpaceDE w:val="0"/>
        <w:autoSpaceDN w:val="0"/>
        <w:spacing w:line="560" w:lineRule="exact"/>
        <w:outlineLvl w:val="9"/>
        <w:rPr>
          <w:rFonts w:hint="eastAsia" w:ascii="宋体" w:hAnsi="宋体" w:eastAsia="宋体" w:cs="宋体"/>
          <w:sz w:val="24"/>
          <w:lang w:val="zh-CN"/>
        </w:rPr>
      </w:pPr>
      <w:r>
        <w:rPr>
          <w:rFonts w:hint="eastAsia" w:ascii="宋体" w:hAnsi="宋体" w:eastAsia="宋体" w:cs="宋体"/>
          <w:sz w:val="24"/>
          <w:lang w:val="zh-CN"/>
        </w:rPr>
        <w:t>法定代表人或                             法定代表人或</w:t>
      </w:r>
    </w:p>
    <w:p w14:paraId="0B9FF357">
      <w:pPr>
        <w:autoSpaceDE w:val="0"/>
        <w:autoSpaceDN w:val="0"/>
        <w:spacing w:line="560" w:lineRule="exact"/>
        <w:outlineLvl w:val="9"/>
        <w:rPr>
          <w:rFonts w:hint="eastAsia" w:ascii="宋体" w:hAnsi="宋体" w:eastAsia="宋体" w:cs="宋体"/>
          <w:sz w:val="24"/>
          <w:lang w:val="zh-CN"/>
        </w:rPr>
      </w:pPr>
      <w:r>
        <w:rPr>
          <w:rFonts w:hint="eastAsia" w:ascii="宋体" w:hAnsi="宋体" w:eastAsia="宋体" w:cs="宋体"/>
          <w:sz w:val="24"/>
          <w:lang w:val="zh-CN"/>
        </w:rPr>
        <w:t>授权代表（签字）：                       授权代表（签字）</w:t>
      </w:r>
      <w:r>
        <w:rPr>
          <w:rFonts w:hint="eastAsia" w:ascii="宋体" w:hAnsi="宋体" w:cs="宋体"/>
          <w:sz w:val="24"/>
          <w:lang w:val="zh-CN"/>
        </w:rPr>
        <w:t>：</w:t>
      </w:r>
      <w:r>
        <w:rPr>
          <w:rFonts w:hint="eastAsia" w:ascii="宋体" w:hAnsi="宋体" w:eastAsia="宋体" w:cs="宋体"/>
          <w:sz w:val="24"/>
          <w:lang w:val="zh-CN"/>
        </w:rPr>
        <w:t xml:space="preserve"> </w:t>
      </w:r>
    </w:p>
    <w:p w14:paraId="1B33ED45">
      <w:pPr>
        <w:autoSpaceDE w:val="0"/>
        <w:autoSpaceDN w:val="0"/>
        <w:spacing w:line="560" w:lineRule="exact"/>
        <w:outlineLvl w:val="9"/>
        <w:rPr>
          <w:rFonts w:hint="eastAsia" w:ascii="宋体" w:hAnsi="宋体" w:eastAsia="宋体" w:cs="宋体"/>
          <w:sz w:val="24"/>
          <w:lang w:val="zh-CN"/>
        </w:rPr>
      </w:pPr>
      <w:r>
        <w:rPr>
          <w:rFonts w:hint="eastAsia" w:ascii="宋体" w:hAnsi="宋体" w:eastAsia="宋体" w:cs="宋体"/>
          <w:sz w:val="24"/>
          <w:lang w:val="zh-CN"/>
        </w:rPr>
        <w:t>联系人：                                 联系人：</w:t>
      </w:r>
    </w:p>
    <w:p w14:paraId="29A6A0E9">
      <w:pPr>
        <w:autoSpaceDE w:val="0"/>
        <w:autoSpaceDN w:val="0"/>
        <w:spacing w:line="560" w:lineRule="exact"/>
        <w:outlineLvl w:val="9"/>
        <w:rPr>
          <w:rFonts w:hint="eastAsia" w:ascii="宋体" w:hAnsi="宋体" w:eastAsia="宋体" w:cs="宋体"/>
          <w:sz w:val="24"/>
          <w:lang w:val="zh-CN"/>
        </w:rPr>
      </w:pPr>
      <w:r>
        <w:rPr>
          <w:rFonts w:hint="eastAsia" w:ascii="宋体" w:hAnsi="宋体" w:eastAsia="宋体" w:cs="宋体"/>
          <w:sz w:val="24"/>
          <w:lang w:val="zh-CN"/>
        </w:rPr>
        <w:t>电话</w:t>
      </w:r>
      <w:r>
        <w:rPr>
          <w:rFonts w:hint="eastAsia" w:ascii="宋体" w:hAnsi="宋体" w:cs="宋体"/>
          <w:sz w:val="24"/>
          <w:lang w:val="zh-CN"/>
        </w:rPr>
        <w:t>：</w:t>
      </w:r>
      <w:r>
        <w:rPr>
          <w:rFonts w:hint="eastAsia" w:ascii="宋体" w:hAnsi="宋体" w:eastAsia="宋体" w:cs="宋体"/>
          <w:sz w:val="24"/>
          <w:lang w:val="zh-CN"/>
        </w:rPr>
        <w:t xml:space="preserve">                                    电话</w:t>
      </w:r>
      <w:r>
        <w:rPr>
          <w:rFonts w:hint="eastAsia" w:ascii="宋体" w:hAnsi="宋体" w:cs="宋体"/>
          <w:sz w:val="24"/>
          <w:lang w:val="zh-CN"/>
        </w:rPr>
        <w:t>：</w:t>
      </w:r>
      <w:r>
        <w:rPr>
          <w:rFonts w:hint="eastAsia" w:ascii="宋体" w:hAnsi="宋体" w:eastAsia="宋体" w:cs="宋体"/>
          <w:sz w:val="24"/>
          <w:lang w:val="zh-CN"/>
        </w:rPr>
        <w:t xml:space="preserve"> </w:t>
      </w:r>
    </w:p>
    <w:p w14:paraId="6168E4C4">
      <w:pPr>
        <w:autoSpaceDE w:val="0"/>
        <w:autoSpaceDN w:val="0"/>
        <w:spacing w:line="560" w:lineRule="exact"/>
        <w:outlineLvl w:val="9"/>
        <w:rPr>
          <w:rFonts w:hint="eastAsia" w:ascii="宋体" w:hAnsi="宋体" w:eastAsia="宋体" w:cs="宋体"/>
          <w:sz w:val="24"/>
          <w:lang w:val="zh-CN"/>
        </w:rPr>
      </w:pPr>
      <w:r>
        <w:rPr>
          <w:rFonts w:hint="eastAsia" w:ascii="宋体" w:hAnsi="宋体" w:eastAsia="宋体" w:cs="宋体"/>
          <w:sz w:val="24"/>
        </w:rPr>
        <w:t xml:space="preserve">开户银行：                             </w:t>
      </w:r>
      <w:r>
        <w:rPr>
          <w:rFonts w:hint="eastAsia" w:ascii="宋体" w:hAnsi="宋体" w:eastAsia="宋体" w:cs="宋体"/>
          <w:sz w:val="24"/>
          <w:lang w:val="zh-CN"/>
        </w:rPr>
        <w:t xml:space="preserve">  开户银行： </w:t>
      </w:r>
    </w:p>
    <w:p w14:paraId="0522160B">
      <w:pPr>
        <w:autoSpaceDE w:val="0"/>
        <w:autoSpaceDN w:val="0"/>
        <w:spacing w:line="560" w:lineRule="exact"/>
        <w:outlineLvl w:val="9"/>
        <w:rPr>
          <w:rFonts w:hint="eastAsia" w:ascii="宋体" w:hAnsi="宋体" w:eastAsia="宋体" w:cs="宋体"/>
          <w:sz w:val="24"/>
          <w:lang w:val="zh-CN"/>
        </w:rPr>
      </w:pPr>
      <w:r>
        <w:rPr>
          <w:rFonts w:hint="eastAsia" w:ascii="宋体" w:hAnsi="宋体" w:eastAsia="宋体" w:cs="宋体"/>
          <w:sz w:val="24"/>
          <w:lang w:val="zh-CN"/>
        </w:rPr>
        <w:t>开户名称：                               开户名称：</w:t>
      </w:r>
    </w:p>
    <w:p w14:paraId="4B5BB1C7">
      <w:pPr>
        <w:pStyle w:val="2"/>
        <w:outlineLvl w:val="9"/>
        <w:rPr>
          <w:rFonts w:hint="eastAsia" w:ascii="宋体" w:hAnsi="宋体" w:eastAsia="宋体" w:cs="宋体"/>
          <w:sz w:val="24"/>
          <w:lang w:val="zh-CN"/>
        </w:rPr>
      </w:pPr>
    </w:p>
    <w:p w14:paraId="26E8E48B">
      <w:pPr>
        <w:pStyle w:val="2"/>
        <w:outlineLvl w:val="9"/>
        <w:rPr>
          <w:rFonts w:hint="eastAsia" w:ascii="宋体" w:hAnsi="宋体" w:eastAsia="宋体" w:cs="宋体"/>
          <w:sz w:val="24"/>
          <w:lang w:val="zh-CN"/>
        </w:rPr>
      </w:pPr>
    </w:p>
    <w:p w14:paraId="7FCAC39D">
      <w:pPr>
        <w:keepNext w:val="0"/>
        <w:keepLines w:val="0"/>
        <w:pageBreakBefore w:val="0"/>
        <w:widowControl w:val="0"/>
        <w:kinsoku/>
        <w:wordWrap/>
        <w:overflowPunct/>
        <w:topLinePunct w:val="0"/>
        <w:autoSpaceDE/>
        <w:autoSpaceDN/>
        <w:bidi w:val="0"/>
        <w:adjustRightInd/>
        <w:snapToGrid/>
        <w:spacing w:before="469" w:beforeLines="150" w:after="157" w:afterLines="50" w:line="360" w:lineRule="auto"/>
        <w:jc w:val="both"/>
        <w:textAlignment w:val="auto"/>
        <w:outlineLvl w:val="9"/>
        <w:rPr>
          <w:rFonts w:hint="eastAsia" w:ascii="宋体" w:hAnsi="宋体" w:eastAsia="宋体" w:cs="宋体"/>
          <w:color w:val="auto"/>
          <w:sz w:val="32"/>
          <w:szCs w:val="32"/>
          <w:highlight w:val="none"/>
        </w:rPr>
      </w:pPr>
      <w:r>
        <w:rPr>
          <w:rFonts w:hint="eastAsia" w:ascii="宋体" w:hAnsi="宋体" w:cs="宋体"/>
          <w:b/>
          <w:color w:val="auto"/>
          <w:sz w:val="32"/>
          <w:szCs w:val="32"/>
          <w:highlight w:val="none"/>
          <w:lang w:val="en-US" w:eastAsia="zh-CN"/>
        </w:rPr>
        <w:t>附件：</w:t>
      </w:r>
      <w:r>
        <w:rPr>
          <w:rFonts w:hint="eastAsia" w:ascii="宋体" w:hAnsi="宋体" w:eastAsia="宋体" w:cs="宋体"/>
          <w:b/>
          <w:color w:val="auto"/>
          <w:sz w:val="32"/>
          <w:szCs w:val="32"/>
          <w:highlight w:val="none"/>
        </w:rPr>
        <w:t>桐庐县青少年宫</w:t>
      </w:r>
      <w:r>
        <w:rPr>
          <w:rFonts w:hint="eastAsia" w:ascii="宋体" w:hAnsi="宋体" w:cs="宋体"/>
          <w:b/>
          <w:color w:val="auto"/>
          <w:sz w:val="32"/>
          <w:szCs w:val="32"/>
          <w:highlight w:val="none"/>
          <w:lang w:eastAsia="zh-CN"/>
        </w:rPr>
        <w:t>消防维保工作</w:t>
      </w:r>
      <w:r>
        <w:rPr>
          <w:rFonts w:hint="eastAsia" w:ascii="宋体" w:hAnsi="宋体" w:eastAsia="宋体" w:cs="宋体"/>
          <w:b/>
          <w:color w:val="auto"/>
          <w:sz w:val="32"/>
          <w:szCs w:val="32"/>
          <w:highlight w:val="none"/>
        </w:rPr>
        <w:t>考核标准</w:t>
      </w:r>
    </w:p>
    <w:tbl>
      <w:tblPr>
        <w:tblStyle w:val="63"/>
        <w:tblW w:w="541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532"/>
        <w:gridCol w:w="5152"/>
        <w:gridCol w:w="503"/>
        <w:gridCol w:w="962"/>
        <w:gridCol w:w="908"/>
        <w:gridCol w:w="969"/>
        <w:gridCol w:w="655"/>
      </w:tblGrid>
      <w:tr w14:paraId="3120E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53" w:hRule="atLeast"/>
          <w:jc w:val="center"/>
        </w:trPr>
        <w:tc>
          <w:tcPr>
            <w:tcW w:w="275" w:type="pct"/>
            <w:vMerge w:val="restart"/>
            <w:tcBorders>
              <w:right w:val="single" w:color="auto" w:sz="4" w:space="0"/>
            </w:tcBorders>
            <w:noWrap w:val="0"/>
            <w:tcMar>
              <w:left w:w="105" w:type="dxa"/>
              <w:right w:w="105" w:type="dxa"/>
            </w:tcMar>
            <w:vAlign w:val="center"/>
          </w:tcPr>
          <w:p w14:paraId="27ACBAA8">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outlineLvl w:val="9"/>
              <w:rPr>
                <w:rFonts w:hint="eastAsia" w:ascii="宋体" w:hAnsi="宋体" w:eastAsia="宋体" w:cs="宋体"/>
                <w:b/>
                <w:color w:val="auto"/>
                <w:sz w:val="21"/>
                <w:szCs w:val="21"/>
                <w:highlight w:val="none"/>
                <w:lang w:eastAsia="zh-CN"/>
              </w:rPr>
            </w:pPr>
            <w:r>
              <w:rPr>
                <w:rFonts w:hint="eastAsia" w:cs="宋体"/>
                <w:b/>
                <w:color w:val="auto"/>
                <w:sz w:val="21"/>
                <w:szCs w:val="21"/>
                <w:highlight w:val="none"/>
                <w:lang w:eastAsia="zh-CN"/>
              </w:rPr>
              <w:t>序号</w:t>
            </w:r>
          </w:p>
        </w:tc>
        <w:tc>
          <w:tcPr>
            <w:tcW w:w="2661" w:type="pct"/>
            <w:vMerge w:val="restart"/>
            <w:tcBorders>
              <w:left w:val="single" w:color="auto" w:sz="4" w:space="0"/>
            </w:tcBorders>
            <w:noWrap w:val="0"/>
            <w:tcMar>
              <w:left w:w="105" w:type="dxa"/>
              <w:right w:w="105" w:type="dxa"/>
            </w:tcMar>
            <w:vAlign w:val="center"/>
          </w:tcPr>
          <w:p w14:paraId="192D0C82">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outlineLvl w:val="9"/>
              <w:rPr>
                <w:rFonts w:hint="eastAsia" w:ascii="宋体" w:hAnsi="宋体" w:eastAsia="宋体" w:cs="宋体"/>
                <w:b/>
                <w:color w:val="auto"/>
                <w:kern w:val="0"/>
                <w:sz w:val="21"/>
                <w:szCs w:val="21"/>
                <w:highlight w:val="none"/>
                <w:lang w:val="en-US" w:eastAsia="zh-CN" w:bidi="ar-SA"/>
              </w:rPr>
            </w:pPr>
            <w:r>
              <w:rPr>
                <w:rFonts w:hint="eastAsia" w:ascii="宋体" w:hAnsi="宋体" w:eastAsia="宋体" w:cs="宋体"/>
                <w:b/>
                <w:color w:val="auto"/>
                <w:spacing w:val="7"/>
                <w:sz w:val="21"/>
                <w:szCs w:val="21"/>
                <w:highlight w:val="none"/>
              </w:rPr>
              <w:t>管理考核内容</w:t>
            </w:r>
          </w:p>
        </w:tc>
        <w:tc>
          <w:tcPr>
            <w:tcW w:w="260" w:type="pct"/>
            <w:vMerge w:val="restart"/>
            <w:noWrap w:val="0"/>
            <w:tcMar>
              <w:left w:w="105" w:type="dxa"/>
              <w:right w:w="105" w:type="dxa"/>
            </w:tcMar>
            <w:vAlign w:val="center"/>
          </w:tcPr>
          <w:p w14:paraId="5A494304">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pacing w:val="7"/>
                <w:sz w:val="21"/>
                <w:szCs w:val="21"/>
                <w:highlight w:val="none"/>
              </w:rPr>
              <w:t>分值</w:t>
            </w:r>
          </w:p>
        </w:tc>
        <w:tc>
          <w:tcPr>
            <w:tcW w:w="1466" w:type="pct"/>
            <w:gridSpan w:val="3"/>
            <w:tcBorders>
              <w:bottom w:val="single" w:color="auto" w:sz="4" w:space="0"/>
              <w:right w:val="single" w:color="auto" w:sz="4" w:space="0"/>
            </w:tcBorders>
            <w:noWrap w:val="0"/>
            <w:tcMar>
              <w:left w:w="105" w:type="dxa"/>
              <w:right w:w="105" w:type="dxa"/>
            </w:tcMar>
            <w:vAlign w:val="center"/>
          </w:tcPr>
          <w:p w14:paraId="735EF4B0">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outlineLvl w:val="9"/>
              <w:rPr>
                <w:rFonts w:hint="eastAsia" w:ascii="宋体" w:hAnsi="宋体" w:eastAsia="宋体" w:cs="宋体"/>
                <w:b/>
                <w:color w:val="auto"/>
                <w:spacing w:val="7"/>
                <w:sz w:val="21"/>
                <w:szCs w:val="21"/>
                <w:highlight w:val="none"/>
              </w:rPr>
            </w:pPr>
            <w:r>
              <w:rPr>
                <w:rFonts w:hint="eastAsia" w:ascii="宋体" w:hAnsi="宋体" w:eastAsia="宋体" w:cs="宋体"/>
                <w:b/>
                <w:color w:val="auto"/>
                <w:spacing w:val="7"/>
                <w:sz w:val="21"/>
                <w:szCs w:val="21"/>
                <w:highlight w:val="none"/>
              </w:rPr>
              <w:t>评分</w:t>
            </w:r>
          </w:p>
        </w:tc>
        <w:tc>
          <w:tcPr>
            <w:tcW w:w="335" w:type="pct"/>
            <w:vMerge w:val="restart"/>
            <w:tcBorders>
              <w:left w:val="single" w:color="auto" w:sz="4" w:space="0"/>
            </w:tcBorders>
            <w:noWrap w:val="0"/>
            <w:tcMar>
              <w:left w:w="105" w:type="dxa"/>
              <w:right w:w="105" w:type="dxa"/>
            </w:tcMar>
            <w:vAlign w:val="center"/>
          </w:tcPr>
          <w:p w14:paraId="7132D465">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outlineLvl w:val="9"/>
              <w:rPr>
                <w:rFonts w:hint="eastAsia" w:ascii="宋体" w:hAnsi="宋体" w:eastAsia="宋体" w:cs="宋体"/>
                <w:b/>
                <w:color w:val="auto"/>
                <w:spacing w:val="7"/>
                <w:sz w:val="21"/>
                <w:szCs w:val="21"/>
                <w:highlight w:val="none"/>
                <w:lang w:eastAsia="zh-CN"/>
              </w:rPr>
            </w:pPr>
            <w:r>
              <w:rPr>
                <w:rFonts w:hint="eastAsia" w:cs="宋体"/>
                <w:b/>
                <w:color w:val="auto"/>
                <w:spacing w:val="7"/>
                <w:sz w:val="21"/>
                <w:szCs w:val="21"/>
                <w:highlight w:val="none"/>
                <w:lang w:eastAsia="zh-CN"/>
              </w:rPr>
              <w:t>总分</w:t>
            </w:r>
          </w:p>
        </w:tc>
      </w:tr>
      <w:tr w14:paraId="79371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9" w:hRule="atLeast"/>
          <w:jc w:val="center"/>
        </w:trPr>
        <w:tc>
          <w:tcPr>
            <w:tcW w:w="275" w:type="pct"/>
            <w:vMerge w:val="continue"/>
            <w:tcBorders>
              <w:right w:val="single" w:color="auto" w:sz="4" w:space="0"/>
            </w:tcBorders>
            <w:noWrap w:val="0"/>
            <w:tcMar>
              <w:left w:w="105" w:type="dxa"/>
              <w:right w:w="105" w:type="dxa"/>
            </w:tcMar>
            <w:vAlign w:val="center"/>
          </w:tcPr>
          <w:p w14:paraId="67988CE5">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outlineLvl w:val="9"/>
              <w:rPr>
                <w:rFonts w:hint="eastAsia" w:cs="宋体"/>
                <w:b/>
                <w:color w:val="auto"/>
                <w:sz w:val="21"/>
                <w:szCs w:val="21"/>
                <w:highlight w:val="none"/>
                <w:lang w:eastAsia="zh-CN"/>
              </w:rPr>
            </w:pPr>
          </w:p>
        </w:tc>
        <w:tc>
          <w:tcPr>
            <w:tcW w:w="2661" w:type="pct"/>
            <w:vMerge w:val="continue"/>
            <w:tcBorders>
              <w:left w:val="single" w:color="auto" w:sz="4" w:space="0"/>
            </w:tcBorders>
            <w:noWrap w:val="0"/>
            <w:tcMar>
              <w:left w:w="105" w:type="dxa"/>
              <w:right w:w="105" w:type="dxa"/>
            </w:tcMar>
            <w:vAlign w:val="center"/>
          </w:tcPr>
          <w:p w14:paraId="11EC5E5E">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outlineLvl w:val="9"/>
              <w:rPr>
                <w:rFonts w:hint="eastAsia" w:ascii="宋体" w:hAnsi="宋体" w:eastAsia="宋体" w:cs="宋体"/>
                <w:b/>
                <w:color w:val="auto"/>
                <w:spacing w:val="7"/>
                <w:sz w:val="21"/>
                <w:szCs w:val="21"/>
                <w:highlight w:val="none"/>
              </w:rPr>
            </w:pPr>
          </w:p>
        </w:tc>
        <w:tc>
          <w:tcPr>
            <w:tcW w:w="260" w:type="pct"/>
            <w:vMerge w:val="continue"/>
            <w:noWrap w:val="0"/>
            <w:tcMar>
              <w:left w:w="105" w:type="dxa"/>
              <w:right w:w="105" w:type="dxa"/>
            </w:tcMar>
            <w:vAlign w:val="center"/>
          </w:tcPr>
          <w:p w14:paraId="25EE22B3">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outlineLvl w:val="9"/>
              <w:rPr>
                <w:rFonts w:hint="eastAsia" w:ascii="宋体" w:hAnsi="宋体" w:eastAsia="宋体" w:cs="宋体"/>
                <w:b/>
                <w:color w:val="auto"/>
                <w:spacing w:val="7"/>
                <w:sz w:val="21"/>
                <w:szCs w:val="21"/>
                <w:highlight w:val="none"/>
              </w:rPr>
            </w:pPr>
          </w:p>
        </w:tc>
        <w:tc>
          <w:tcPr>
            <w:tcW w:w="497" w:type="pct"/>
            <w:tcBorders>
              <w:top w:val="single" w:color="auto" w:sz="4" w:space="0"/>
              <w:right w:val="single" w:color="auto" w:sz="4" w:space="0"/>
            </w:tcBorders>
            <w:noWrap w:val="0"/>
            <w:tcMar>
              <w:left w:w="105" w:type="dxa"/>
              <w:right w:w="105" w:type="dxa"/>
            </w:tcMar>
            <w:vAlign w:val="center"/>
          </w:tcPr>
          <w:p w14:paraId="4C733EFE">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outlineLvl w:val="9"/>
              <w:rPr>
                <w:rFonts w:hint="eastAsia" w:ascii="宋体" w:hAnsi="宋体" w:eastAsia="宋体" w:cs="宋体"/>
                <w:b/>
                <w:color w:val="auto"/>
                <w:spacing w:val="7"/>
                <w:sz w:val="21"/>
                <w:szCs w:val="21"/>
                <w:highlight w:val="none"/>
                <w:lang w:eastAsia="zh-CN"/>
              </w:rPr>
            </w:pPr>
            <w:r>
              <w:rPr>
                <w:rFonts w:hint="eastAsia" w:cs="宋体"/>
                <w:b/>
                <w:color w:val="auto"/>
                <w:spacing w:val="7"/>
                <w:sz w:val="21"/>
                <w:szCs w:val="21"/>
                <w:highlight w:val="none"/>
                <w:lang w:eastAsia="zh-CN"/>
              </w:rPr>
              <w:t>活动部</w:t>
            </w:r>
          </w:p>
        </w:tc>
        <w:tc>
          <w:tcPr>
            <w:tcW w:w="469" w:type="pct"/>
            <w:tcBorders>
              <w:top w:val="single" w:color="auto" w:sz="4" w:space="0"/>
              <w:left w:val="single" w:color="auto" w:sz="4" w:space="0"/>
              <w:right w:val="single" w:color="auto" w:sz="4" w:space="0"/>
            </w:tcBorders>
            <w:noWrap w:val="0"/>
            <w:tcMar>
              <w:left w:w="105" w:type="dxa"/>
              <w:right w:w="105" w:type="dxa"/>
            </w:tcMar>
            <w:vAlign w:val="center"/>
          </w:tcPr>
          <w:p w14:paraId="02E61AD9">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outlineLvl w:val="9"/>
              <w:rPr>
                <w:rFonts w:hint="eastAsia" w:ascii="宋体" w:hAnsi="宋体" w:eastAsia="宋体" w:cs="宋体"/>
                <w:b/>
                <w:color w:val="auto"/>
                <w:spacing w:val="7"/>
                <w:sz w:val="21"/>
                <w:szCs w:val="21"/>
                <w:highlight w:val="none"/>
                <w:lang w:eastAsia="zh-CN"/>
              </w:rPr>
            </w:pPr>
            <w:r>
              <w:rPr>
                <w:rFonts w:hint="eastAsia" w:cs="宋体"/>
                <w:b/>
                <w:color w:val="auto"/>
                <w:spacing w:val="7"/>
                <w:sz w:val="21"/>
                <w:szCs w:val="21"/>
                <w:highlight w:val="none"/>
                <w:lang w:eastAsia="zh-CN"/>
              </w:rPr>
              <w:t>团队部</w:t>
            </w:r>
          </w:p>
        </w:tc>
        <w:tc>
          <w:tcPr>
            <w:tcW w:w="499" w:type="pct"/>
            <w:tcBorders>
              <w:top w:val="single" w:color="auto" w:sz="4" w:space="0"/>
              <w:left w:val="single" w:color="auto" w:sz="4" w:space="0"/>
              <w:right w:val="single" w:color="auto" w:sz="4" w:space="0"/>
            </w:tcBorders>
            <w:noWrap w:val="0"/>
            <w:tcMar>
              <w:left w:w="105" w:type="dxa"/>
              <w:right w:w="105" w:type="dxa"/>
            </w:tcMar>
            <w:vAlign w:val="center"/>
          </w:tcPr>
          <w:p w14:paraId="454C49E4">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outlineLvl w:val="9"/>
              <w:rPr>
                <w:rFonts w:hint="eastAsia" w:ascii="宋体" w:hAnsi="宋体" w:eastAsia="宋体" w:cs="宋体"/>
                <w:b/>
                <w:color w:val="auto"/>
                <w:spacing w:val="7"/>
                <w:sz w:val="21"/>
                <w:szCs w:val="21"/>
                <w:highlight w:val="none"/>
                <w:lang w:eastAsia="zh-CN"/>
              </w:rPr>
            </w:pPr>
            <w:r>
              <w:rPr>
                <w:rFonts w:hint="eastAsia" w:cs="宋体"/>
                <w:b/>
                <w:color w:val="auto"/>
                <w:spacing w:val="7"/>
                <w:sz w:val="21"/>
                <w:szCs w:val="21"/>
                <w:highlight w:val="none"/>
                <w:lang w:eastAsia="zh-CN"/>
              </w:rPr>
              <w:t>办公室</w:t>
            </w:r>
          </w:p>
        </w:tc>
        <w:tc>
          <w:tcPr>
            <w:tcW w:w="335" w:type="pct"/>
            <w:vMerge w:val="continue"/>
            <w:tcBorders>
              <w:left w:val="single" w:color="auto" w:sz="4" w:space="0"/>
            </w:tcBorders>
            <w:noWrap w:val="0"/>
            <w:tcMar>
              <w:left w:w="105" w:type="dxa"/>
              <w:right w:w="105" w:type="dxa"/>
            </w:tcMar>
            <w:vAlign w:val="center"/>
          </w:tcPr>
          <w:p w14:paraId="04188333">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center"/>
              <w:textAlignment w:val="auto"/>
              <w:outlineLvl w:val="9"/>
              <w:rPr>
                <w:rFonts w:hint="eastAsia" w:ascii="宋体" w:hAnsi="宋体" w:eastAsia="宋体" w:cs="宋体"/>
                <w:b/>
                <w:color w:val="auto"/>
                <w:spacing w:val="7"/>
                <w:sz w:val="21"/>
                <w:szCs w:val="21"/>
                <w:highlight w:val="none"/>
              </w:rPr>
            </w:pPr>
          </w:p>
        </w:tc>
      </w:tr>
      <w:tr w14:paraId="2E2E9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75" w:type="pct"/>
            <w:tcBorders>
              <w:right w:val="single" w:color="auto" w:sz="4" w:space="0"/>
            </w:tcBorders>
            <w:noWrap w:val="0"/>
            <w:tcMar>
              <w:left w:w="105" w:type="dxa"/>
              <w:right w:w="105" w:type="dxa"/>
            </w:tcMar>
            <w:vAlign w:val="center"/>
          </w:tcPr>
          <w:p w14:paraId="25126849">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6"/>
              <w:jc w:val="center"/>
              <w:textAlignment w:val="auto"/>
              <w:outlineLvl w:val="9"/>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w:t>
            </w:r>
          </w:p>
        </w:tc>
        <w:tc>
          <w:tcPr>
            <w:tcW w:w="2661" w:type="pct"/>
            <w:tcBorders>
              <w:left w:val="single" w:color="auto" w:sz="4" w:space="0"/>
            </w:tcBorders>
            <w:noWrap w:val="0"/>
            <w:tcMar>
              <w:left w:w="105" w:type="dxa"/>
              <w:right w:w="105" w:type="dxa"/>
            </w:tcMar>
            <w:vAlign w:val="center"/>
          </w:tcPr>
          <w:p w14:paraId="7B8A2FF7">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中标单位能根据采购合同履行相关责任义务。</w:t>
            </w:r>
          </w:p>
        </w:tc>
        <w:tc>
          <w:tcPr>
            <w:tcW w:w="260" w:type="pct"/>
            <w:noWrap w:val="0"/>
            <w:tcMar>
              <w:left w:w="105" w:type="dxa"/>
              <w:right w:w="105" w:type="dxa"/>
            </w:tcMar>
            <w:vAlign w:val="center"/>
          </w:tcPr>
          <w:p w14:paraId="7A2332A4">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outlineLvl w:val="9"/>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20</w:t>
            </w:r>
          </w:p>
        </w:tc>
        <w:tc>
          <w:tcPr>
            <w:tcW w:w="497" w:type="pct"/>
            <w:tcBorders>
              <w:right w:val="single" w:color="auto" w:sz="4" w:space="0"/>
            </w:tcBorders>
            <w:noWrap w:val="0"/>
            <w:tcMar>
              <w:left w:w="105" w:type="dxa"/>
              <w:right w:w="105" w:type="dxa"/>
            </w:tcMar>
            <w:vAlign w:val="center"/>
          </w:tcPr>
          <w:p w14:paraId="43C6AA95">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宋体" w:hAnsi="宋体" w:eastAsia="宋体" w:cs="宋体"/>
                <w:color w:val="auto"/>
                <w:spacing w:val="7"/>
                <w:sz w:val="21"/>
                <w:szCs w:val="21"/>
                <w:highlight w:val="none"/>
              </w:rPr>
            </w:pPr>
          </w:p>
        </w:tc>
        <w:tc>
          <w:tcPr>
            <w:tcW w:w="469" w:type="pct"/>
            <w:tcBorders>
              <w:left w:val="single" w:color="auto" w:sz="4" w:space="0"/>
              <w:right w:val="single" w:color="auto" w:sz="4" w:space="0"/>
            </w:tcBorders>
            <w:noWrap w:val="0"/>
            <w:tcMar>
              <w:left w:w="105" w:type="dxa"/>
              <w:right w:w="105" w:type="dxa"/>
            </w:tcMar>
            <w:vAlign w:val="center"/>
          </w:tcPr>
          <w:p w14:paraId="0B055023">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宋体" w:hAnsi="宋体" w:eastAsia="宋体" w:cs="宋体"/>
                <w:color w:val="auto"/>
                <w:spacing w:val="7"/>
                <w:sz w:val="21"/>
                <w:szCs w:val="21"/>
                <w:highlight w:val="none"/>
              </w:rPr>
            </w:pPr>
          </w:p>
        </w:tc>
        <w:tc>
          <w:tcPr>
            <w:tcW w:w="499" w:type="pct"/>
            <w:tcBorders>
              <w:left w:val="single" w:color="auto" w:sz="4" w:space="0"/>
              <w:right w:val="single" w:color="auto" w:sz="4" w:space="0"/>
            </w:tcBorders>
            <w:noWrap w:val="0"/>
            <w:tcMar>
              <w:left w:w="105" w:type="dxa"/>
              <w:right w:w="105" w:type="dxa"/>
            </w:tcMar>
            <w:vAlign w:val="center"/>
          </w:tcPr>
          <w:p w14:paraId="14B647F4">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宋体" w:hAnsi="宋体" w:eastAsia="宋体" w:cs="宋体"/>
                <w:color w:val="auto"/>
                <w:spacing w:val="7"/>
                <w:sz w:val="21"/>
                <w:szCs w:val="21"/>
                <w:highlight w:val="none"/>
              </w:rPr>
            </w:pPr>
          </w:p>
        </w:tc>
        <w:tc>
          <w:tcPr>
            <w:tcW w:w="335" w:type="pct"/>
            <w:tcBorders>
              <w:left w:val="single" w:color="auto" w:sz="4" w:space="0"/>
            </w:tcBorders>
            <w:noWrap w:val="0"/>
            <w:tcMar>
              <w:left w:w="105" w:type="dxa"/>
              <w:right w:w="105" w:type="dxa"/>
            </w:tcMar>
            <w:vAlign w:val="center"/>
          </w:tcPr>
          <w:p w14:paraId="126F9F6C">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宋体" w:hAnsi="宋体" w:eastAsia="宋体" w:cs="宋体"/>
                <w:color w:val="auto"/>
                <w:spacing w:val="7"/>
                <w:sz w:val="21"/>
                <w:szCs w:val="21"/>
                <w:highlight w:val="none"/>
              </w:rPr>
            </w:pPr>
          </w:p>
        </w:tc>
      </w:tr>
      <w:tr w14:paraId="66CA1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75" w:type="pct"/>
            <w:tcBorders>
              <w:right w:val="single" w:color="auto" w:sz="4" w:space="0"/>
            </w:tcBorders>
            <w:noWrap w:val="0"/>
            <w:tcMar>
              <w:left w:w="105" w:type="dxa"/>
              <w:right w:w="105" w:type="dxa"/>
            </w:tcMar>
            <w:vAlign w:val="center"/>
          </w:tcPr>
          <w:p w14:paraId="412097BF">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ind w:firstLine="8"/>
              <w:jc w:val="center"/>
              <w:textAlignment w:val="auto"/>
              <w:outlineLvl w:val="9"/>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w:t>
            </w:r>
          </w:p>
        </w:tc>
        <w:tc>
          <w:tcPr>
            <w:tcW w:w="2661" w:type="pct"/>
            <w:tcBorders>
              <w:left w:val="single" w:color="auto" w:sz="4" w:space="0"/>
            </w:tcBorders>
            <w:noWrap w:val="0"/>
            <w:tcMar>
              <w:left w:w="105" w:type="dxa"/>
              <w:right w:w="105" w:type="dxa"/>
            </w:tcMar>
            <w:vAlign w:val="center"/>
          </w:tcPr>
          <w:p w14:paraId="380B7C58">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按消防重点单位，按月完成维保并提供维保单，按年完成消防设施检测并提供消防设施检测报告，报告通过县消防大队审核。</w:t>
            </w:r>
            <w:r>
              <w:rPr>
                <w:rFonts w:hint="eastAsia" w:ascii="宋体" w:hAnsi="宋体" w:eastAsia="宋体" w:cs="宋体"/>
                <w:color w:val="auto"/>
                <w:spacing w:val="7"/>
                <w:sz w:val="21"/>
                <w:szCs w:val="21"/>
                <w:highlight w:val="none"/>
              </w:rPr>
              <w:t>确保宫消防安全。消防设备完好能有效使用，杜绝消</w:t>
            </w:r>
            <w:r>
              <w:rPr>
                <w:rFonts w:hint="eastAsia" w:ascii="宋体" w:hAnsi="宋体" w:eastAsia="宋体" w:cs="宋体"/>
                <w:color w:val="auto"/>
                <w:spacing w:val="7"/>
                <w:sz w:val="21"/>
                <w:szCs w:val="21"/>
                <w:highlight w:val="none"/>
                <w:lang w:eastAsia="zh-CN"/>
              </w:rPr>
              <w:t>防安全</w:t>
            </w:r>
            <w:r>
              <w:rPr>
                <w:rFonts w:hint="eastAsia" w:ascii="宋体" w:hAnsi="宋体" w:eastAsia="宋体" w:cs="宋体"/>
                <w:color w:val="auto"/>
                <w:spacing w:val="7"/>
                <w:sz w:val="21"/>
                <w:szCs w:val="21"/>
                <w:highlight w:val="none"/>
              </w:rPr>
              <w:t>隐患。</w:t>
            </w:r>
          </w:p>
        </w:tc>
        <w:tc>
          <w:tcPr>
            <w:tcW w:w="260" w:type="pct"/>
            <w:noWrap w:val="0"/>
            <w:tcMar>
              <w:left w:w="105" w:type="dxa"/>
              <w:right w:w="105" w:type="dxa"/>
            </w:tcMar>
            <w:vAlign w:val="center"/>
          </w:tcPr>
          <w:p w14:paraId="1959EA48">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outlineLvl w:val="9"/>
              <w:rPr>
                <w:rFonts w:hint="default" w:ascii="宋体" w:hAnsi="宋体" w:eastAsia="宋体" w:cs="宋体"/>
                <w:color w:val="auto"/>
                <w:kern w:val="0"/>
                <w:sz w:val="21"/>
                <w:szCs w:val="21"/>
                <w:highlight w:val="none"/>
                <w:lang w:val="en-US" w:eastAsia="zh-CN" w:bidi="ar-SA"/>
              </w:rPr>
            </w:pPr>
            <w:r>
              <w:rPr>
                <w:rFonts w:hint="eastAsia" w:cs="宋体"/>
                <w:color w:val="auto"/>
                <w:sz w:val="21"/>
                <w:szCs w:val="21"/>
                <w:highlight w:val="none"/>
                <w:lang w:val="en-US" w:eastAsia="zh-CN"/>
              </w:rPr>
              <w:t>30</w:t>
            </w:r>
          </w:p>
        </w:tc>
        <w:tc>
          <w:tcPr>
            <w:tcW w:w="497" w:type="pct"/>
            <w:tcBorders>
              <w:right w:val="single" w:color="auto" w:sz="4" w:space="0"/>
            </w:tcBorders>
            <w:noWrap w:val="0"/>
            <w:tcMar>
              <w:left w:w="105" w:type="dxa"/>
              <w:right w:w="105" w:type="dxa"/>
            </w:tcMar>
            <w:vAlign w:val="center"/>
          </w:tcPr>
          <w:p w14:paraId="7B8D4114">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宋体" w:hAnsi="宋体" w:eastAsia="宋体" w:cs="宋体"/>
                <w:color w:val="auto"/>
                <w:spacing w:val="7"/>
                <w:kern w:val="0"/>
                <w:sz w:val="21"/>
                <w:szCs w:val="21"/>
                <w:highlight w:val="none"/>
                <w:lang w:val="en-US" w:eastAsia="zh-CN" w:bidi="ar-SA"/>
              </w:rPr>
            </w:pPr>
          </w:p>
        </w:tc>
        <w:tc>
          <w:tcPr>
            <w:tcW w:w="469" w:type="pct"/>
            <w:tcBorders>
              <w:left w:val="single" w:color="auto" w:sz="4" w:space="0"/>
              <w:right w:val="single" w:color="auto" w:sz="4" w:space="0"/>
            </w:tcBorders>
            <w:noWrap w:val="0"/>
            <w:tcMar>
              <w:left w:w="105" w:type="dxa"/>
              <w:right w:w="105" w:type="dxa"/>
            </w:tcMar>
            <w:vAlign w:val="center"/>
          </w:tcPr>
          <w:p w14:paraId="7632C47E">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宋体" w:hAnsi="宋体" w:eastAsia="宋体" w:cs="宋体"/>
                <w:color w:val="auto"/>
                <w:spacing w:val="7"/>
                <w:sz w:val="21"/>
                <w:szCs w:val="21"/>
                <w:highlight w:val="none"/>
              </w:rPr>
            </w:pPr>
          </w:p>
        </w:tc>
        <w:tc>
          <w:tcPr>
            <w:tcW w:w="499" w:type="pct"/>
            <w:tcBorders>
              <w:left w:val="single" w:color="auto" w:sz="4" w:space="0"/>
              <w:right w:val="single" w:color="auto" w:sz="4" w:space="0"/>
            </w:tcBorders>
            <w:noWrap w:val="0"/>
            <w:tcMar>
              <w:left w:w="105" w:type="dxa"/>
              <w:right w:w="105" w:type="dxa"/>
            </w:tcMar>
            <w:vAlign w:val="center"/>
          </w:tcPr>
          <w:p w14:paraId="375133AC">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宋体" w:hAnsi="宋体" w:eastAsia="宋体" w:cs="宋体"/>
                <w:color w:val="auto"/>
                <w:spacing w:val="7"/>
                <w:sz w:val="21"/>
                <w:szCs w:val="21"/>
                <w:highlight w:val="none"/>
              </w:rPr>
            </w:pPr>
          </w:p>
        </w:tc>
        <w:tc>
          <w:tcPr>
            <w:tcW w:w="335" w:type="pct"/>
            <w:tcBorders>
              <w:left w:val="single" w:color="auto" w:sz="4" w:space="0"/>
            </w:tcBorders>
            <w:noWrap w:val="0"/>
            <w:tcMar>
              <w:left w:w="105" w:type="dxa"/>
              <w:right w:w="105" w:type="dxa"/>
            </w:tcMar>
            <w:vAlign w:val="center"/>
          </w:tcPr>
          <w:p w14:paraId="40B19F08">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360" w:lineRule="auto"/>
              <w:jc w:val="center"/>
              <w:textAlignment w:val="auto"/>
              <w:outlineLvl w:val="9"/>
              <w:rPr>
                <w:rFonts w:hint="eastAsia" w:ascii="宋体" w:hAnsi="宋体" w:eastAsia="宋体" w:cs="宋体"/>
                <w:color w:val="auto"/>
                <w:spacing w:val="7"/>
                <w:sz w:val="21"/>
                <w:szCs w:val="21"/>
                <w:highlight w:val="none"/>
              </w:rPr>
            </w:pPr>
          </w:p>
        </w:tc>
      </w:tr>
      <w:tr w14:paraId="394EA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2" w:hRule="atLeast"/>
          <w:jc w:val="center"/>
        </w:trPr>
        <w:tc>
          <w:tcPr>
            <w:tcW w:w="275" w:type="pct"/>
            <w:tcBorders>
              <w:right w:val="single" w:color="auto" w:sz="4" w:space="0"/>
            </w:tcBorders>
            <w:noWrap w:val="0"/>
            <w:tcMar>
              <w:left w:w="105" w:type="dxa"/>
              <w:right w:w="105" w:type="dxa"/>
            </w:tcMar>
            <w:vAlign w:val="center"/>
          </w:tcPr>
          <w:p w14:paraId="6C8D0F70">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default"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3</w:t>
            </w:r>
          </w:p>
        </w:tc>
        <w:tc>
          <w:tcPr>
            <w:tcW w:w="2661" w:type="pct"/>
            <w:tcBorders>
              <w:left w:val="single" w:color="auto" w:sz="4" w:space="0"/>
            </w:tcBorders>
            <w:noWrap w:val="0"/>
            <w:tcMar>
              <w:left w:w="105" w:type="dxa"/>
              <w:right w:w="105" w:type="dxa"/>
            </w:tcMar>
            <w:vAlign w:val="center"/>
          </w:tcPr>
          <w:p w14:paraId="6BA03CC0">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维保人员仪表端庄，工作认真负责，能主动解说维保结果、解决措施等相关事宜。</w:t>
            </w:r>
          </w:p>
        </w:tc>
        <w:tc>
          <w:tcPr>
            <w:tcW w:w="260" w:type="pct"/>
            <w:noWrap w:val="0"/>
            <w:tcMar>
              <w:left w:w="105" w:type="dxa"/>
              <w:right w:w="105" w:type="dxa"/>
            </w:tcMar>
            <w:vAlign w:val="center"/>
          </w:tcPr>
          <w:p w14:paraId="3F5C23B0">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default"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10</w:t>
            </w:r>
          </w:p>
        </w:tc>
        <w:tc>
          <w:tcPr>
            <w:tcW w:w="497" w:type="pct"/>
            <w:tcBorders>
              <w:right w:val="single" w:color="auto" w:sz="4" w:space="0"/>
            </w:tcBorders>
            <w:noWrap w:val="0"/>
            <w:tcMar>
              <w:left w:w="105" w:type="dxa"/>
              <w:right w:w="105" w:type="dxa"/>
            </w:tcMar>
            <w:vAlign w:val="center"/>
          </w:tcPr>
          <w:p w14:paraId="25C62C18">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p>
        </w:tc>
        <w:tc>
          <w:tcPr>
            <w:tcW w:w="469" w:type="pct"/>
            <w:tcBorders>
              <w:left w:val="single" w:color="auto" w:sz="4" w:space="0"/>
              <w:right w:val="single" w:color="auto" w:sz="4" w:space="0"/>
            </w:tcBorders>
            <w:noWrap w:val="0"/>
            <w:tcMar>
              <w:left w:w="105" w:type="dxa"/>
              <w:right w:w="105" w:type="dxa"/>
            </w:tcMar>
            <w:vAlign w:val="center"/>
          </w:tcPr>
          <w:p w14:paraId="13287478">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p>
        </w:tc>
        <w:tc>
          <w:tcPr>
            <w:tcW w:w="499" w:type="pct"/>
            <w:tcBorders>
              <w:left w:val="single" w:color="auto" w:sz="4" w:space="0"/>
              <w:right w:val="single" w:color="auto" w:sz="4" w:space="0"/>
            </w:tcBorders>
            <w:noWrap w:val="0"/>
            <w:tcMar>
              <w:left w:w="105" w:type="dxa"/>
              <w:right w:w="105" w:type="dxa"/>
            </w:tcMar>
            <w:vAlign w:val="center"/>
          </w:tcPr>
          <w:p w14:paraId="63CD3086">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p>
        </w:tc>
        <w:tc>
          <w:tcPr>
            <w:tcW w:w="335" w:type="pct"/>
            <w:tcBorders>
              <w:left w:val="single" w:color="auto" w:sz="4" w:space="0"/>
            </w:tcBorders>
            <w:noWrap w:val="0"/>
            <w:tcMar>
              <w:left w:w="105" w:type="dxa"/>
              <w:right w:w="105" w:type="dxa"/>
            </w:tcMar>
            <w:vAlign w:val="center"/>
          </w:tcPr>
          <w:p w14:paraId="38395119">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p>
        </w:tc>
      </w:tr>
      <w:tr w14:paraId="3077C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75" w:type="pct"/>
            <w:tcBorders>
              <w:right w:val="single" w:color="auto" w:sz="4" w:space="0"/>
            </w:tcBorders>
            <w:noWrap w:val="0"/>
            <w:tcMar>
              <w:left w:w="105" w:type="dxa"/>
              <w:right w:w="105" w:type="dxa"/>
            </w:tcMar>
            <w:vAlign w:val="center"/>
          </w:tcPr>
          <w:p w14:paraId="700431A0">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4</w:t>
            </w:r>
          </w:p>
        </w:tc>
        <w:tc>
          <w:tcPr>
            <w:tcW w:w="2661" w:type="pct"/>
            <w:tcBorders>
              <w:left w:val="single" w:color="auto" w:sz="4" w:space="0"/>
            </w:tcBorders>
            <w:noWrap w:val="0"/>
            <w:tcMar>
              <w:left w:w="105" w:type="dxa"/>
              <w:right w:w="105" w:type="dxa"/>
            </w:tcMar>
            <w:vAlign w:val="center"/>
          </w:tcPr>
          <w:p w14:paraId="2AB7A611">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维保过程不得影响青少年宫的校外活动、培训及康乐游艺活动的正常开展，并做好安全预案，确保个人及他人的安全。</w:t>
            </w:r>
          </w:p>
        </w:tc>
        <w:tc>
          <w:tcPr>
            <w:tcW w:w="260" w:type="pct"/>
            <w:noWrap w:val="0"/>
            <w:tcMar>
              <w:left w:w="105" w:type="dxa"/>
              <w:right w:w="105" w:type="dxa"/>
            </w:tcMar>
            <w:vAlign w:val="center"/>
          </w:tcPr>
          <w:p w14:paraId="254D7D9F">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default"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20</w:t>
            </w:r>
          </w:p>
        </w:tc>
        <w:tc>
          <w:tcPr>
            <w:tcW w:w="497" w:type="pct"/>
            <w:tcBorders>
              <w:right w:val="single" w:color="auto" w:sz="4" w:space="0"/>
            </w:tcBorders>
            <w:noWrap w:val="0"/>
            <w:tcMar>
              <w:left w:w="105" w:type="dxa"/>
              <w:right w:w="105" w:type="dxa"/>
            </w:tcMar>
            <w:vAlign w:val="center"/>
          </w:tcPr>
          <w:p w14:paraId="21C766D4">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p>
        </w:tc>
        <w:tc>
          <w:tcPr>
            <w:tcW w:w="469" w:type="pct"/>
            <w:tcBorders>
              <w:left w:val="single" w:color="auto" w:sz="4" w:space="0"/>
              <w:right w:val="single" w:color="auto" w:sz="4" w:space="0"/>
            </w:tcBorders>
            <w:noWrap w:val="0"/>
            <w:tcMar>
              <w:left w:w="105" w:type="dxa"/>
              <w:right w:w="105" w:type="dxa"/>
            </w:tcMar>
            <w:vAlign w:val="center"/>
          </w:tcPr>
          <w:p w14:paraId="2823C92F">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p>
        </w:tc>
        <w:tc>
          <w:tcPr>
            <w:tcW w:w="499" w:type="pct"/>
            <w:tcBorders>
              <w:left w:val="single" w:color="auto" w:sz="4" w:space="0"/>
              <w:right w:val="single" w:color="auto" w:sz="4" w:space="0"/>
            </w:tcBorders>
            <w:noWrap w:val="0"/>
            <w:tcMar>
              <w:left w:w="105" w:type="dxa"/>
              <w:right w:w="105" w:type="dxa"/>
            </w:tcMar>
            <w:vAlign w:val="center"/>
          </w:tcPr>
          <w:p w14:paraId="63CB1CA1">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p>
        </w:tc>
        <w:tc>
          <w:tcPr>
            <w:tcW w:w="335" w:type="pct"/>
            <w:tcBorders>
              <w:left w:val="single" w:color="auto" w:sz="4" w:space="0"/>
            </w:tcBorders>
            <w:noWrap w:val="0"/>
            <w:tcMar>
              <w:left w:w="105" w:type="dxa"/>
              <w:right w:w="105" w:type="dxa"/>
            </w:tcMar>
            <w:vAlign w:val="center"/>
          </w:tcPr>
          <w:p w14:paraId="6445DAAD">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p>
        </w:tc>
      </w:tr>
      <w:tr w14:paraId="00CB4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275" w:type="pct"/>
            <w:tcBorders>
              <w:right w:val="single" w:color="auto" w:sz="4" w:space="0"/>
            </w:tcBorders>
            <w:noWrap w:val="0"/>
            <w:tcMar>
              <w:left w:w="105" w:type="dxa"/>
              <w:right w:w="105" w:type="dxa"/>
            </w:tcMar>
            <w:vAlign w:val="center"/>
          </w:tcPr>
          <w:p w14:paraId="365075B3">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5</w:t>
            </w:r>
          </w:p>
        </w:tc>
        <w:tc>
          <w:tcPr>
            <w:tcW w:w="2661" w:type="pct"/>
            <w:tcBorders>
              <w:left w:val="single" w:color="auto" w:sz="4" w:space="0"/>
            </w:tcBorders>
            <w:noWrap w:val="0"/>
            <w:tcMar>
              <w:left w:w="105" w:type="dxa"/>
              <w:right w:w="105" w:type="dxa"/>
            </w:tcMar>
            <w:vAlign w:val="center"/>
          </w:tcPr>
          <w:p w14:paraId="4CAE9320">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若需维修，提供经济有效的维修方案，申报经费不得高于市场价格。</w:t>
            </w:r>
          </w:p>
        </w:tc>
        <w:tc>
          <w:tcPr>
            <w:tcW w:w="260" w:type="pct"/>
            <w:noWrap w:val="0"/>
            <w:tcMar>
              <w:left w:w="105" w:type="dxa"/>
              <w:right w:w="105" w:type="dxa"/>
            </w:tcMar>
            <w:vAlign w:val="center"/>
          </w:tcPr>
          <w:p w14:paraId="56C60B7F">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default"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10</w:t>
            </w:r>
          </w:p>
        </w:tc>
        <w:tc>
          <w:tcPr>
            <w:tcW w:w="497" w:type="pct"/>
            <w:tcBorders>
              <w:right w:val="single" w:color="auto" w:sz="4" w:space="0"/>
            </w:tcBorders>
            <w:noWrap w:val="0"/>
            <w:tcMar>
              <w:left w:w="105" w:type="dxa"/>
              <w:right w:w="105" w:type="dxa"/>
            </w:tcMar>
            <w:vAlign w:val="center"/>
          </w:tcPr>
          <w:p w14:paraId="0C4E86F1">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p>
        </w:tc>
        <w:tc>
          <w:tcPr>
            <w:tcW w:w="469" w:type="pct"/>
            <w:tcBorders>
              <w:left w:val="single" w:color="auto" w:sz="4" w:space="0"/>
              <w:right w:val="single" w:color="auto" w:sz="4" w:space="0"/>
            </w:tcBorders>
            <w:noWrap w:val="0"/>
            <w:tcMar>
              <w:left w:w="105" w:type="dxa"/>
              <w:right w:w="105" w:type="dxa"/>
            </w:tcMar>
            <w:vAlign w:val="center"/>
          </w:tcPr>
          <w:p w14:paraId="393F1A07">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p>
        </w:tc>
        <w:tc>
          <w:tcPr>
            <w:tcW w:w="499" w:type="pct"/>
            <w:tcBorders>
              <w:left w:val="single" w:color="auto" w:sz="4" w:space="0"/>
              <w:right w:val="single" w:color="auto" w:sz="4" w:space="0"/>
            </w:tcBorders>
            <w:noWrap w:val="0"/>
            <w:tcMar>
              <w:left w:w="105" w:type="dxa"/>
              <w:right w:w="105" w:type="dxa"/>
            </w:tcMar>
            <w:vAlign w:val="center"/>
          </w:tcPr>
          <w:p w14:paraId="69D20F9E">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p>
        </w:tc>
        <w:tc>
          <w:tcPr>
            <w:tcW w:w="335" w:type="pct"/>
            <w:tcBorders>
              <w:left w:val="single" w:color="auto" w:sz="4" w:space="0"/>
            </w:tcBorders>
            <w:noWrap w:val="0"/>
            <w:tcMar>
              <w:left w:w="105" w:type="dxa"/>
              <w:right w:w="105" w:type="dxa"/>
            </w:tcMar>
            <w:vAlign w:val="center"/>
          </w:tcPr>
          <w:p w14:paraId="5A4F4257">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p>
        </w:tc>
      </w:tr>
      <w:tr w14:paraId="5B3E7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275" w:type="pct"/>
            <w:tcBorders>
              <w:right w:val="single" w:color="auto" w:sz="4" w:space="0"/>
            </w:tcBorders>
            <w:noWrap w:val="0"/>
            <w:tcMar>
              <w:left w:w="105" w:type="dxa"/>
              <w:right w:w="105" w:type="dxa"/>
            </w:tcMar>
            <w:vAlign w:val="center"/>
          </w:tcPr>
          <w:p w14:paraId="7E1349DD">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default"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6</w:t>
            </w:r>
          </w:p>
        </w:tc>
        <w:tc>
          <w:tcPr>
            <w:tcW w:w="2661" w:type="pct"/>
            <w:tcBorders>
              <w:left w:val="single" w:color="auto" w:sz="4" w:space="0"/>
            </w:tcBorders>
            <w:noWrap w:val="0"/>
            <w:tcMar>
              <w:left w:w="105" w:type="dxa"/>
              <w:right w:w="105" w:type="dxa"/>
            </w:tcMar>
            <w:vAlign w:val="center"/>
          </w:tcPr>
          <w:p w14:paraId="6F1C5F4A">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结算时，能及时开具发票并提供加盖公章的广告清单。</w:t>
            </w:r>
          </w:p>
        </w:tc>
        <w:tc>
          <w:tcPr>
            <w:tcW w:w="260" w:type="pct"/>
            <w:noWrap w:val="0"/>
            <w:tcMar>
              <w:left w:w="105" w:type="dxa"/>
              <w:right w:w="105" w:type="dxa"/>
            </w:tcMar>
            <w:vAlign w:val="center"/>
          </w:tcPr>
          <w:p w14:paraId="7B2D8BCE">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default"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10</w:t>
            </w:r>
          </w:p>
        </w:tc>
        <w:tc>
          <w:tcPr>
            <w:tcW w:w="497" w:type="pct"/>
            <w:tcBorders>
              <w:right w:val="single" w:color="auto" w:sz="4" w:space="0"/>
            </w:tcBorders>
            <w:noWrap w:val="0"/>
            <w:tcMar>
              <w:left w:w="105" w:type="dxa"/>
              <w:right w:w="105" w:type="dxa"/>
            </w:tcMar>
            <w:vAlign w:val="center"/>
          </w:tcPr>
          <w:p w14:paraId="17DE43DA">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p>
        </w:tc>
        <w:tc>
          <w:tcPr>
            <w:tcW w:w="469" w:type="pct"/>
            <w:tcBorders>
              <w:left w:val="single" w:color="auto" w:sz="4" w:space="0"/>
              <w:right w:val="single" w:color="auto" w:sz="4" w:space="0"/>
            </w:tcBorders>
            <w:noWrap w:val="0"/>
            <w:tcMar>
              <w:left w:w="105" w:type="dxa"/>
              <w:right w:w="105" w:type="dxa"/>
            </w:tcMar>
            <w:vAlign w:val="center"/>
          </w:tcPr>
          <w:p w14:paraId="5F8716A3">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p>
        </w:tc>
        <w:tc>
          <w:tcPr>
            <w:tcW w:w="499" w:type="pct"/>
            <w:tcBorders>
              <w:left w:val="single" w:color="auto" w:sz="4" w:space="0"/>
              <w:right w:val="single" w:color="auto" w:sz="4" w:space="0"/>
            </w:tcBorders>
            <w:noWrap w:val="0"/>
            <w:tcMar>
              <w:left w:w="105" w:type="dxa"/>
              <w:right w:w="105" w:type="dxa"/>
            </w:tcMar>
            <w:vAlign w:val="center"/>
          </w:tcPr>
          <w:p w14:paraId="3CB8FC09">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p>
        </w:tc>
        <w:tc>
          <w:tcPr>
            <w:tcW w:w="335" w:type="pct"/>
            <w:tcBorders>
              <w:left w:val="single" w:color="auto" w:sz="4" w:space="0"/>
            </w:tcBorders>
            <w:noWrap w:val="0"/>
            <w:tcMar>
              <w:left w:w="105" w:type="dxa"/>
              <w:right w:w="105" w:type="dxa"/>
            </w:tcMar>
            <w:vAlign w:val="center"/>
          </w:tcPr>
          <w:p w14:paraId="4BA7602D">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eastAsia" w:cs="宋体"/>
                <w:color w:val="auto"/>
                <w:kern w:val="0"/>
                <w:sz w:val="21"/>
                <w:szCs w:val="21"/>
                <w:highlight w:val="none"/>
                <w:lang w:val="en-US" w:eastAsia="zh-CN" w:bidi="ar-SA"/>
              </w:rPr>
            </w:pPr>
          </w:p>
        </w:tc>
      </w:tr>
      <w:tr w14:paraId="68A19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047" w:hRule="atLeast"/>
          <w:jc w:val="center"/>
        </w:trPr>
        <w:tc>
          <w:tcPr>
            <w:tcW w:w="5000" w:type="pct"/>
            <w:gridSpan w:val="7"/>
            <w:tcBorders>
              <w:bottom w:val="single" w:color="auto" w:sz="4" w:space="0"/>
            </w:tcBorders>
            <w:noWrap w:val="0"/>
            <w:tcMar>
              <w:left w:w="105" w:type="dxa"/>
              <w:right w:w="105" w:type="dxa"/>
            </w:tcMar>
            <w:vAlign w:val="center"/>
          </w:tcPr>
          <w:p w14:paraId="15A1D70C">
            <w:pPr>
              <w:pStyle w:val="59"/>
              <w:keepNext w:val="0"/>
              <w:keepLines w:val="0"/>
              <w:pageBreakBefore w:val="0"/>
              <w:widowControl/>
              <w:kinsoku/>
              <w:wordWrap w:val="0"/>
              <w:overflowPunct/>
              <w:topLinePunct w:val="0"/>
              <w:autoSpaceDE/>
              <w:autoSpaceDN/>
              <w:bidi w:val="0"/>
              <w:adjustRightInd/>
              <w:snapToGrid/>
              <w:spacing w:before="157" w:beforeLines="50" w:beforeAutospacing="0" w:after="0" w:afterAutospacing="0" w:line="360" w:lineRule="auto"/>
              <w:jc w:val="both"/>
              <w:textAlignment w:val="auto"/>
              <w:outlineLvl w:val="9"/>
              <w:rPr>
                <w:rFonts w:hint="default"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说明：考核采用按期（春、暑、秋）考核办法，考核80分（含）以上为合格，80分以下为不合格，考核不合格，青少年宫有权取消合同。</w:t>
            </w:r>
          </w:p>
        </w:tc>
      </w:tr>
      <w:tr w14:paraId="0F3BD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144" w:hRule="atLeast"/>
          <w:jc w:val="center"/>
        </w:trPr>
        <w:tc>
          <w:tcPr>
            <w:tcW w:w="5000" w:type="pct"/>
            <w:gridSpan w:val="7"/>
            <w:tcBorders>
              <w:top w:val="single" w:color="auto" w:sz="4" w:space="0"/>
              <w:bottom w:val="single" w:color="auto" w:sz="4" w:space="0"/>
            </w:tcBorders>
            <w:noWrap w:val="0"/>
            <w:tcMar>
              <w:left w:w="105" w:type="dxa"/>
              <w:right w:w="105" w:type="dxa"/>
            </w:tcMar>
            <w:vAlign w:val="top"/>
          </w:tcPr>
          <w:p w14:paraId="2F77C6D2">
            <w:pPr>
              <w:pStyle w:val="59"/>
              <w:keepNext w:val="0"/>
              <w:keepLines w:val="0"/>
              <w:pageBreakBefore w:val="0"/>
              <w:widowControl/>
              <w:kinsoku/>
              <w:wordWrap w:val="0"/>
              <w:overflowPunct/>
              <w:topLinePunct w:val="0"/>
              <w:autoSpaceDE/>
              <w:autoSpaceDN/>
              <w:bidi w:val="0"/>
              <w:adjustRightInd/>
              <w:snapToGrid/>
              <w:spacing w:before="0" w:beforeAutospacing="0" w:after="0" w:afterAutospacing="0" w:line="280" w:lineRule="exact"/>
              <w:jc w:val="both"/>
              <w:textAlignment w:val="auto"/>
              <w:outlineLvl w:val="9"/>
              <w:rPr>
                <w:rFonts w:hint="eastAsia" w:ascii="宋体" w:hAnsi="宋体" w:eastAsia="宋体" w:cs="宋体"/>
                <w:color w:val="auto"/>
                <w:spacing w:val="7"/>
                <w:sz w:val="21"/>
                <w:szCs w:val="21"/>
                <w:highlight w:val="none"/>
                <w:lang w:eastAsia="zh-CN"/>
              </w:rPr>
            </w:pPr>
            <w:r>
              <w:rPr>
                <w:rFonts w:hint="eastAsia" w:cs="宋体"/>
                <w:color w:val="auto"/>
                <w:spacing w:val="7"/>
                <w:sz w:val="21"/>
                <w:szCs w:val="21"/>
                <w:highlight w:val="none"/>
                <w:lang w:eastAsia="zh-CN"/>
              </w:rPr>
              <w:t>意见建议：</w:t>
            </w:r>
          </w:p>
        </w:tc>
      </w:tr>
    </w:tbl>
    <w:p w14:paraId="1177BB55">
      <w:pPr>
        <w:rPr>
          <w:rFonts w:hint="eastAsia"/>
        </w:rPr>
      </w:pPr>
    </w:p>
    <w:p w14:paraId="61077653">
      <w:pPr>
        <w:rPr>
          <w:rFonts w:hint="eastAsia" w:ascii="宋体" w:hAnsi="宋体" w:eastAsia="宋体" w:cs="宋体"/>
          <w:b/>
          <w:sz w:val="24"/>
        </w:rPr>
      </w:pPr>
    </w:p>
    <w:p w14:paraId="414C0E32">
      <w:pPr>
        <w:pStyle w:val="2"/>
        <w:rPr>
          <w:rFonts w:hint="eastAsia" w:ascii="宋体" w:hAnsi="宋体" w:eastAsia="宋体" w:cs="宋体"/>
          <w:b/>
          <w:sz w:val="24"/>
        </w:rPr>
      </w:pPr>
    </w:p>
    <w:p w14:paraId="15D517A3">
      <w:pPr>
        <w:pStyle w:val="2"/>
        <w:rPr>
          <w:rFonts w:hint="eastAsia" w:ascii="宋体" w:hAnsi="宋体" w:eastAsia="宋体" w:cs="宋体"/>
          <w:b/>
          <w:sz w:val="24"/>
        </w:rPr>
      </w:pPr>
    </w:p>
    <w:p w14:paraId="477226DD">
      <w:pPr>
        <w:pStyle w:val="2"/>
        <w:rPr>
          <w:rFonts w:hint="eastAsia" w:ascii="宋体" w:hAnsi="宋体" w:eastAsia="宋体" w:cs="宋体"/>
          <w:b/>
          <w:sz w:val="24"/>
        </w:rPr>
      </w:pPr>
    </w:p>
    <w:p w14:paraId="2B306C92">
      <w:pPr>
        <w:pStyle w:val="2"/>
        <w:rPr>
          <w:rFonts w:hint="eastAsia" w:ascii="宋体" w:hAnsi="宋体" w:eastAsia="宋体" w:cs="宋体"/>
          <w:b/>
          <w:sz w:val="24"/>
        </w:rPr>
      </w:pPr>
    </w:p>
    <w:p w14:paraId="25C13D97">
      <w:pPr>
        <w:pStyle w:val="2"/>
        <w:rPr>
          <w:rFonts w:hint="eastAsia" w:ascii="宋体" w:hAnsi="宋体" w:eastAsia="宋体" w:cs="宋体"/>
          <w:b/>
          <w:sz w:val="24"/>
        </w:rPr>
      </w:pPr>
    </w:p>
    <w:p w14:paraId="74412B71">
      <w:pPr>
        <w:pStyle w:val="2"/>
        <w:rPr>
          <w:rFonts w:hint="eastAsia" w:ascii="宋体" w:hAnsi="宋体" w:eastAsia="宋体" w:cs="宋体"/>
          <w:b/>
          <w:sz w:val="24"/>
        </w:rPr>
      </w:pPr>
    </w:p>
    <w:p w14:paraId="3132E667">
      <w:pPr>
        <w:pStyle w:val="2"/>
        <w:rPr>
          <w:rFonts w:hint="eastAsia" w:ascii="宋体" w:hAnsi="宋体" w:eastAsia="宋体" w:cs="宋体"/>
          <w:b/>
          <w:sz w:val="24"/>
        </w:rPr>
      </w:pPr>
    </w:p>
    <w:p w14:paraId="1947859D">
      <w:pPr>
        <w:pStyle w:val="2"/>
        <w:rPr>
          <w:rFonts w:hint="eastAsia" w:ascii="宋体" w:hAnsi="宋体" w:eastAsia="宋体" w:cs="宋体"/>
          <w:b/>
          <w:sz w:val="24"/>
        </w:rPr>
      </w:pPr>
    </w:p>
    <w:p w14:paraId="6D5CFFA2">
      <w:pPr>
        <w:pStyle w:val="2"/>
        <w:rPr>
          <w:rFonts w:hint="eastAsia" w:ascii="宋体" w:hAnsi="宋体" w:eastAsia="宋体" w:cs="宋体"/>
          <w:b/>
          <w:sz w:val="24"/>
        </w:rPr>
      </w:pPr>
    </w:p>
    <w:bookmarkEnd w:id="396"/>
    <w:p w14:paraId="067AA968">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394"/>
      <w:r>
        <w:rPr>
          <w:rFonts w:hint="eastAsia" w:ascii="宋体" w:hAnsi="宋体" w:eastAsia="宋体" w:cs="宋体"/>
          <w:b/>
          <w:sz w:val="36"/>
          <w:szCs w:val="20"/>
        </w:rPr>
        <w:t xml:space="preserve"> </w:t>
      </w:r>
      <w:bookmarkEnd w:id="395"/>
      <w:r>
        <w:rPr>
          <w:rFonts w:hint="eastAsia" w:ascii="宋体" w:hAnsi="宋体" w:eastAsia="宋体" w:cs="宋体"/>
          <w:b/>
          <w:sz w:val="36"/>
          <w:szCs w:val="20"/>
        </w:rPr>
        <w:t>应提交的有关格式范例</w:t>
      </w:r>
    </w:p>
    <w:p w14:paraId="2E609B49">
      <w:pPr>
        <w:pStyle w:val="964"/>
        <w:tabs>
          <w:tab w:val="center" w:pos="4535"/>
        </w:tabs>
        <w:ind w:left="0"/>
        <w:jc w:val="left"/>
        <w:outlineLvl w:val="1"/>
        <w:rPr>
          <w:rFonts w:hint="eastAsia" w:ascii="宋体" w:hAnsi="宋体" w:eastAsia="宋体" w:cs="宋体"/>
          <w:sz w:val="36"/>
          <w:szCs w:val="36"/>
          <w:highlight w:val="none"/>
        </w:rPr>
      </w:pPr>
      <w:r>
        <w:rPr>
          <w:rFonts w:hint="eastAsia" w:ascii="宋体" w:hAnsi="宋体" w:eastAsia="宋体" w:cs="宋体"/>
          <w:sz w:val="36"/>
          <w:szCs w:val="36"/>
          <w:highlight w:val="none"/>
        </w:rPr>
        <w:t>1、外包装封面格式：</w:t>
      </w:r>
      <w:r>
        <w:rPr>
          <w:rFonts w:hint="eastAsia" w:ascii="宋体" w:hAnsi="宋体" w:eastAsia="宋体" w:cs="宋体"/>
          <w:sz w:val="36"/>
          <w:szCs w:val="36"/>
          <w:highlight w:val="none"/>
        </w:rPr>
        <w:tab/>
      </w:r>
    </w:p>
    <w:p w14:paraId="3558D203">
      <w:pPr>
        <w:pStyle w:val="964"/>
        <w:tabs>
          <w:tab w:val="center" w:pos="4535"/>
        </w:tabs>
        <w:ind w:left="0"/>
        <w:outlineLvl w:val="1"/>
        <w:rPr>
          <w:rFonts w:hint="eastAsia" w:ascii="宋体" w:hAnsi="宋体" w:eastAsia="宋体" w:cs="宋体"/>
          <w:sz w:val="36"/>
          <w:szCs w:val="36"/>
          <w:highlight w:val="none"/>
        </w:rPr>
      </w:pPr>
    </w:p>
    <w:p w14:paraId="30D25A7C">
      <w:pPr>
        <w:snapToGrid w:val="0"/>
        <w:spacing w:line="360" w:lineRule="auto"/>
        <w:ind w:firstLine="800" w:firstLineChars="200"/>
        <w:jc w:val="center"/>
        <w:rPr>
          <w:rFonts w:hint="eastAsia" w:ascii="宋体" w:hAnsi="宋体" w:eastAsia="宋体" w:cs="宋体"/>
          <w:bCs/>
          <w:color w:val="000000"/>
          <w:sz w:val="40"/>
          <w:szCs w:val="40"/>
          <w:highlight w:val="none"/>
        </w:rPr>
      </w:pPr>
      <w:r>
        <w:rPr>
          <w:rFonts w:hint="eastAsia" w:ascii="宋体" w:hAnsi="宋体" w:eastAsia="宋体" w:cs="宋体"/>
          <w:bCs/>
          <w:color w:val="000000"/>
          <w:sz w:val="40"/>
          <w:szCs w:val="40"/>
          <w:highlight w:val="none"/>
        </w:rPr>
        <w:t>×××（</w:t>
      </w:r>
      <w:r>
        <w:rPr>
          <w:rFonts w:hint="eastAsia" w:ascii="宋体" w:hAnsi="宋体" w:cs="宋体"/>
          <w:bCs/>
          <w:color w:val="000000"/>
          <w:sz w:val="40"/>
          <w:szCs w:val="40"/>
          <w:highlight w:val="none"/>
          <w:lang w:eastAsia="zh-CN"/>
        </w:rPr>
        <w:t>投标单位</w:t>
      </w:r>
      <w:r>
        <w:rPr>
          <w:rFonts w:hint="eastAsia" w:ascii="宋体" w:hAnsi="宋体" w:eastAsia="宋体" w:cs="宋体"/>
          <w:bCs/>
          <w:color w:val="000000"/>
          <w:sz w:val="40"/>
          <w:szCs w:val="40"/>
          <w:highlight w:val="none"/>
        </w:rPr>
        <w:t>名称）</w:t>
      </w:r>
    </w:p>
    <w:p w14:paraId="023AC7D0">
      <w:pPr>
        <w:snapToGrid w:val="0"/>
        <w:spacing w:line="360" w:lineRule="auto"/>
        <w:ind w:firstLine="800" w:firstLineChars="200"/>
        <w:jc w:val="center"/>
        <w:rPr>
          <w:rFonts w:hint="eastAsia" w:ascii="宋体" w:hAnsi="宋体" w:eastAsia="宋体" w:cs="宋体"/>
          <w:bCs/>
          <w:color w:val="000000"/>
          <w:sz w:val="40"/>
          <w:szCs w:val="40"/>
          <w:highlight w:val="none"/>
        </w:rPr>
      </w:pPr>
      <w:r>
        <w:rPr>
          <w:rFonts w:hint="eastAsia" w:ascii="宋体" w:hAnsi="宋体" w:eastAsia="宋体" w:cs="宋体"/>
          <w:bCs/>
          <w:color w:val="000000"/>
          <w:sz w:val="40"/>
          <w:szCs w:val="40"/>
          <w:highlight w:val="none"/>
        </w:rPr>
        <w:t>投 标 文 件</w:t>
      </w:r>
    </w:p>
    <w:p w14:paraId="77A9DA79">
      <w:pPr>
        <w:pStyle w:val="4"/>
        <w:numPr>
          <w:ilvl w:val="1"/>
          <w:numId w:val="0"/>
        </w:numPr>
        <w:rPr>
          <w:rFonts w:hint="eastAsia" w:ascii="宋体" w:hAnsi="宋体" w:eastAsia="宋体" w:cs="宋体"/>
          <w:highlight w:val="none"/>
        </w:rPr>
      </w:pPr>
    </w:p>
    <w:p w14:paraId="667771FF">
      <w:pPr>
        <w:rPr>
          <w:rFonts w:hint="eastAsia" w:ascii="宋体" w:hAnsi="宋体" w:eastAsia="宋体" w:cs="宋体"/>
          <w:bCs/>
          <w:color w:val="000000"/>
          <w:sz w:val="24"/>
          <w:highlight w:val="none"/>
        </w:rPr>
      </w:pPr>
    </w:p>
    <w:p w14:paraId="5452442A">
      <w:pPr>
        <w:pStyle w:val="4"/>
        <w:numPr>
          <w:ilvl w:val="1"/>
          <w:numId w:val="0"/>
        </w:numPr>
        <w:rPr>
          <w:rFonts w:hint="eastAsia" w:ascii="宋体" w:hAnsi="宋体" w:eastAsia="宋体" w:cs="宋体"/>
          <w:highlight w:val="none"/>
        </w:rPr>
      </w:pPr>
    </w:p>
    <w:p w14:paraId="6823CCD1">
      <w:pPr>
        <w:pStyle w:val="4"/>
        <w:numPr>
          <w:ilvl w:val="1"/>
          <w:numId w:val="0"/>
        </w:numPr>
        <w:rPr>
          <w:rFonts w:hint="eastAsia" w:ascii="宋体" w:hAnsi="宋体" w:eastAsia="宋体" w:cs="宋体"/>
          <w:highlight w:val="none"/>
        </w:rPr>
      </w:pPr>
    </w:p>
    <w:p w14:paraId="3D3327F8">
      <w:pPr>
        <w:rPr>
          <w:rFonts w:hint="eastAsia" w:ascii="宋体" w:hAnsi="宋体" w:eastAsia="宋体" w:cs="宋体"/>
          <w:highlight w:val="none"/>
        </w:rPr>
      </w:pPr>
    </w:p>
    <w:p w14:paraId="749994D6">
      <w:pPr>
        <w:pStyle w:val="27"/>
        <w:rPr>
          <w:rFonts w:hint="eastAsia" w:ascii="宋体" w:hAnsi="宋体" w:eastAsia="宋体" w:cs="宋体"/>
          <w:highlight w:val="none"/>
        </w:rPr>
      </w:pPr>
    </w:p>
    <w:p w14:paraId="43812380">
      <w:pPr>
        <w:pStyle w:val="28"/>
        <w:rPr>
          <w:rFonts w:hint="eastAsia" w:ascii="宋体" w:hAnsi="宋体" w:eastAsia="宋体" w:cs="宋体"/>
          <w:highlight w:val="none"/>
        </w:rPr>
      </w:pPr>
    </w:p>
    <w:p w14:paraId="628A8265">
      <w:pPr>
        <w:rPr>
          <w:rFonts w:hint="eastAsia" w:ascii="宋体" w:hAnsi="宋体" w:eastAsia="宋体" w:cs="宋体"/>
          <w:highlight w:val="none"/>
        </w:rPr>
      </w:pPr>
    </w:p>
    <w:p w14:paraId="0398C86C">
      <w:pPr>
        <w:pStyle w:val="27"/>
        <w:rPr>
          <w:rFonts w:hint="eastAsia" w:ascii="宋体" w:hAnsi="宋体" w:eastAsia="宋体" w:cs="宋体"/>
          <w:highlight w:val="none"/>
        </w:rPr>
      </w:pPr>
    </w:p>
    <w:p w14:paraId="592E9BA8">
      <w:pPr>
        <w:pStyle w:val="28"/>
        <w:rPr>
          <w:rFonts w:hint="eastAsia"/>
        </w:rPr>
      </w:pPr>
    </w:p>
    <w:p w14:paraId="635D7AE6">
      <w:pPr>
        <w:pStyle w:val="28"/>
        <w:rPr>
          <w:rFonts w:hint="eastAsia"/>
        </w:rPr>
      </w:pPr>
    </w:p>
    <w:p w14:paraId="7ED74140">
      <w:pPr>
        <w:rPr>
          <w:rFonts w:hint="eastAsia" w:ascii="宋体" w:hAnsi="宋体" w:eastAsia="宋体" w:cs="宋体"/>
          <w:highlight w:val="none"/>
        </w:rPr>
      </w:pPr>
    </w:p>
    <w:p w14:paraId="444AC234">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项目名称：</w:t>
      </w:r>
      <w:r>
        <w:rPr>
          <w:rFonts w:hint="eastAsia" w:ascii="宋体" w:hAnsi="宋体" w:cs="宋体"/>
          <w:bCs/>
          <w:color w:val="000000"/>
          <w:sz w:val="24"/>
          <w:highlight w:val="none"/>
          <w:lang w:val="zh-CN" w:eastAsia="zh-CN"/>
        </w:rPr>
        <w:t>2024年桐庐县青少年宫消防维保单位采购项目</w:t>
      </w:r>
    </w:p>
    <w:p w14:paraId="6F2EBFAA">
      <w:pPr>
        <w:snapToGrid w:val="0"/>
        <w:spacing w:before="240" w:beforeLines="100" w:after="240" w:afterLines="100"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zh-CN" w:eastAsia="zh-CN"/>
        </w:rPr>
        <w:t>项目编号：</w:t>
      </w:r>
      <w:r>
        <w:rPr>
          <w:rFonts w:hint="eastAsia" w:ascii="宋体" w:hAnsi="宋体" w:cs="宋体"/>
          <w:bCs/>
          <w:color w:val="000000"/>
          <w:sz w:val="24"/>
          <w:highlight w:val="none"/>
          <w:lang w:val="zh-CN" w:eastAsia="zh-CN"/>
        </w:rPr>
        <w:t>QZ23301222024025</w:t>
      </w:r>
    </w:p>
    <w:p w14:paraId="036CD09F">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投标文件名称：（资格文件）（报价文件）</w:t>
      </w:r>
    </w:p>
    <w:p w14:paraId="65C28FE8">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cs="宋体"/>
          <w:bCs/>
          <w:color w:val="000000"/>
          <w:sz w:val="24"/>
          <w:highlight w:val="none"/>
          <w:lang w:eastAsia="zh-CN"/>
        </w:rPr>
        <w:t>投标单位</w:t>
      </w:r>
      <w:r>
        <w:rPr>
          <w:rFonts w:hint="eastAsia" w:ascii="宋体" w:hAnsi="宋体" w:eastAsia="宋体" w:cs="宋体"/>
          <w:bCs/>
          <w:color w:val="000000"/>
          <w:sz w:val="24"/>
          <w:highlight w:val="none"/>
        </w:rPr>
        <w:t>名称（盖章）：</w:t>
      </w:r>
    </w:p>
    <w:p w14:paraId="33A9EABA">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cs="宋体"/>
          <w:bCs/>
          <w:color w:val="000000"/>
          <w:sz w:val="24"/>
          <w:highlight w:val="none"/>
          <w:lang w:eastAsia="zh-CN"/>
        </w:rPr>
        <w:t>投标单位</w:t>
      </w:r>
      <w:r>
        <w:rPr>
          <w:rFonts w:hint="eastAsia" w:ascii="宋体" w:hAnsi="宋体" w:eastAsia="宋体" w:cs="宋体"/>
          <w:bCs/>
          <w:color w:val="000000"/>
          <w:sz w:val="24"/>
          <w:highlight w:val="none"/>
        </w:rPr>
        <w:t>地址：</w:t>
      </w:r>
    </w:p>
    <w:p w14:paraId="23CB0149">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法定代表人</w:t>
      </w:r>
      <w:r>
        <w:rPr>
          <w:rFonts w:hint="eastAsia" w:ascii="宋体" w:hAnsi="宋体" w:cs="宋体"/>
          <w:bCs/>
          <w:color w:val="000000"/>
          <w:sz w:val="24"/>
          <w:highlight w:val="none"/>
          <w:lang w:val="en-US" w:eastAsia="zh-CN"/>
        </w:rPr>
        <w:t>或</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委托代理人）</w:t>
      </w:r>
      <w:r>
        <w:rPr>
          <w:rFonts w:hint="eastAsia" w:ascii="宋体" w:hAnsi="宋体" w:eastAsia="宋体" w:cs="宋体"/>
          <w:bCs/>
          <w:color w:val="000000"/>
          <w:sz w:val="24"/>
          <w:highlight w:val="none"/>
        </w:rPr>
        <w:t>签字或盖章：</w:t>
      </w:r>
    </w:p>
    <w:p w14:paraId="774D4FC3">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在 202</w:t>
      </w:r>
      <w:r>
        <w:rPr>
          <w:rFonts w:hint="eastAsia" w:ascii="宋体" w:hAnsi="宋体" w:cs="宋体"/>
          <w:bCs/>
          <w:color w:val="000000"/>
          <w:sz w:val="24"/>
          <w:highlight w:val="none"/>
          <w:lang w:val="en-US" w:eastAsia="zh-CN"/>
        </w:rPr>
        <w:t>4</w:t>
      </w:r>
      <w:r>
        <w:rPr>
          <w:rFonts w:hint="eastAsia" w:ascii="宋体" w:hAnsi="宋体" w:eastAsia="宋体" w:cs="宋体"/>
          <w:bCs/>
          <w:color w:val="000000"/>
          <w:sz w:val="24"/>
          <w:highlight w:val="none"/>
        </w:rPr>
        <w:t>年  月  日  时  分之前不得启封</w:t>
      </w:r>
    </w:p>
    <w:p w14:paraId="791DAC26">
      <w:pPr>
        <w:pStyle w:val="964"/>
        <w:ind w:left="0"/>
        <w:outlineLvl w:val="1"/>
        <w:rPr>
          <w:rFonts w:hint="eastAsia" w:ascii="宋体" w:hAnsi="宋体" w:eastAsia="宋体" w:cs="宋体"/>
          <w:sz w:val="36"/>
          <w:szCs w:val="36"/>
          <w:highlight w:val="none"/>
        </w:rPr>
      </w:pPr>
      <w:r>
        <w:rPr>
          <w:rFonts w:hint="eastAsia" w:ascii="宋体" w:hAnsi="宋体" w:eastAsia="宋体" w:cs="宋体"/>
          <w:sz w:val="36"/>
          <w:szCs w:val="36"/>
          <w:highlight w:val="none"/>
        </w:rPr>
        <w:t xml:space="preserve">2、 投标文件封面格式： </w:t>
      </w:r>
    </w:p>
    <w:p w14:paraId="5C052191">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w:t>
      </w:r>
    </w:p>
    <w:p w14:paraId="2A475E7E">
      <w:pPr>
        <w:snapToGrid w:val="0"/>
        <w:spacing w:line="360" w:lineRule="auto"/>
        <w:ind w:firstLine="803" w:firstLineChars="200"/>
        <w:jc w:val="right"/>
        <w:rPr>
          <w:rFonts w:hint="eastAsia" w:ascii="宋体" w:hAnsi="宋体" w:eastAsia="宋体" w:cs="宋体"/>
          <w:b/>
          <w:bCs/>
          <w:color w:val="000000"/>
          <w:sz w:val="40"/>
          <w:szCs w:val="40"/>
          <w:highlight w:val="none"/>
        </w:rPr>
      </w:pPr>
      <w:r>
        <w:rPr>
          <w:rFonts w:hint="eastAsia" w:ascii="宋体" w:hAnsi="宋体" w:eastAsia="宋体" w:cs="宋体"/>
          <w:b/>
          <w:bCs/>
          <w:color w:val="000000"/>
          <w:sz w:val="40"/>
          <w:szCs w:val="40"/>
          <w:highlight w:val="none"/>
        </w:rPr>
        <w:t>正本/副本</w:t>
      </w:r>
    </w:p>
    <w:p w14:paraId="49E5D422">
      <w:pPr>
        <w:snapToGrid w:val="0"/>
        <w:spacing w:line="360" w:lineRule="auto"/>
        <w:ind w:firstLine="800" w:firstLineChars="200"/>
        <w:jc w:val="center"/>
        <w:rPr>
          <w:rFonts w:hint="eastAsia" w:ascii="宋体" w:hAnsi="宋体" w:eastAsia="宋体" w:cs="宋体"/>
          <w:bCs/>
          <w:color w:val="000000"/>
          <w:sz w:val="40"/>
          <w:szCs w:val="40"/>
          <w:highlight w:val="none"/>
        </w:rPr>
      </w:pPr>
    </w:p>
    <w:p w14:paraId="50C72BA6">
      <w:pPr>
        <w:snapToGrid w:val="0"/>
        <w:spacing w:line="360" w:lineRule="auto"/>
        <w:ind w:firstLine="800" w:firstLineChars="200"/>
        <w:jc w:val="center"/>
        <w:rPr>
          <w:rFonts w:hint="eastAsia" w:ascii="宋体" w:hAnsi="宋体" w:eastAsia="宋体" w:cs="宋体"/>
          <w:bCs/>
          <w:color w:val="000000"/>
          <w:sz w:val="40"/>
          <w:szCs w:val="40"/>
          <w:highlight w:val="none"/>
        </w:rPr>
      </w:pPr>
      <w:r>
        <w:rPr>
          <w:rFonts w:hint="eastAsia" w:ascii="宋体" w:hAnsi="宋体" w:eastAsia="宋体" w:cs="宋体"/>
          <w:bCs/>
          <w:color w:val="000000"/>
          <w:sz w:val="40"/>
          <w:szCs w:val="40"/>
          <w:highlight w:val="none"/>
        </w:rPr>
        <w:t>×××（</w:t>
      </w:r>
      <w:r>
        <w:rPr>
          <w:rFonts w:hint="eastAsia" w:ascii="宋体" w:hAnsi="宋体" w:cs="宋体"/>
          <w:bCs/>
          <w:color w:val="000000"/>
          <w:sz w:val="40"/>
          <w:szCs w:val="40"/>
          <w:highlight w:val="none"/>
          <w:lang w:eastAsia="zh-CN"/>
        </w:rPr>
        <w:t>投标单位</w:t>
      </w:r>
      <w:r>
        <w:rPr>
          <w:rFonts w:hint="eastAsia" w:ascii="宋体" w:hAnsi="宋体" w:eastAsia="宋体" w:cs="宋体"/>
          <w:bCs/>
          <w:color w:val="000000"/>
          <w:sz w:val="40"/>
          <w:szCs w:val="40"/>
          <w:highlight w:val="none"/>
        </w:rPr>
        <w:t>名称）</w:t>
      </w:r>
    </w:p>
    <w:p w14:paraId="1F9E773B">
      <w:pPr>
        <w:snapToGrid w:val="0"/>
        <w:spacing w:line="360" w:lineRule="auto"/>
        <w:ind w:firstLine="800" w:firstLineChars="200"/>
        <w:jc w:val="center"/>
        <w:rPr>
          <w:rFonts w:hint="eastAsia" w:ascii="宋体" w:hAnsi="宋体" w:eastAsia="宋体" w:cs="宋体"/>
          <w:bCs/>
          <w:color w:val="000000"/>
          <w:sz w:val="40"/>
          <w:szCs w:val="40"/>
          <w:highlight w:val="none"/>
        </w:rPr>
      </w:pPr>
      <w:r>
        <w:rPr>
          <w:rFonts w:hint="eastAsia" w:ascii="宋体" w:hAnsi="宋体" w:eastAsia="宋体" w:cs="宋体"/>
          <w:bCs/>
          <w:color w:val="000000"/>
          <w:sz w:val="40"/>
          <w:szCs w:val="40"/>
          <w:highlight w:val="none"/>
        </w:rPr>
        <w:t>资格文件、报价文件</w:t>
      </w:r>
    </w:p>
    <w:p w14:paraId="6DB2BA31">
      <w:pPr>
        <w:pStyle w:val="4"/>
        <w:numPr>
          <w:ilvl w:val="1"/>
          <w:numId w:val="0"/>
        </w:numPr>
        <w:rPr>
          <w:rFonts w:hint="eastAsia" w:ascii="宋体" w:hAnsi="宋体" w:eastAsia="宋体" w:cs="宋体"/>
          <w:highlight w:val="none"/>
        </w:rPr>
      </w:pPr>
    </w:p>
    <w:p w14:paraId="6B0FEBBD">
      <w:pPr>
        <w:rPr>
          <w:rFonts w:hint="eastAsia" w:ascii="宋体" w:hAnsi="宋体" w:eastAsia="宋体" w:cs="宋体"/>
          <w:bCs/>
          <w:color w:val="000000"/>
          <w:sz w:val="24"/>
          <w:highlight w:val="none"/>
        </w:rPr>
      </w:pPr>
    </w:p>
    <w:p w14:paraId="229ABCD0">
      <w:pPr>
        <w:rPr>
          <w:rFonts w:hint="eastAsia" w:ascii="宋体" w:hAnsi="宋体" w:eastAsia="宋体" w:cs="宋体"/>
          <w:bCs/>
          <w:color w:val="000000"/>
          <w:sz w:val="24"/>
          <w:highlight w:val="none"/>
        </w:rPr>
      </w:pPr>
    </w:p>
    <w:p w14:paraId="3D9C6019">
      <w:pPr>
        <w:pStyle w:val="4"/>
        <w:numPr>
          <w:ilvl w:val="1"/>
          <w:numId w:val="0"/>
        </w:numPr>
        <w:rPr>
          <w:rFonts w:hint="eastAsia" w:ascii="宋体" w:hAnsi="宋体" w:eastAsia="宋体" w:cs="宋体"/>
          <w:highlight w:val="none"/>
        </w:rPr>
      </w:pPr>
    </w:p>
    <w:p w14:paraId="5CF599E4">
      <w:pPr>
        <w:pStyle w:val="4"/>
        <w:numPr>
          <w:ilvl w:val="1"/>
          <w:numId w:val="0"/>
        </w:numPr>
        <w:rPr>
          <w:rFonts w:hint="eastAsia" w:ascii="宋体" w:hAnsi="宋体" w:eastAsia="宋体" w:cs="宋体"/>
          <w:highlight w:val="none"/>
        </w:rPr>
      </w:pPr>
    </w:p>
    <w:p w14:paraId="0146C93D">
      <w:pPr>
        <w:rPr>
          <w:rFonts w:hint="eastAsia" w:ascii="宋体" w:hAnsi="宋体" w:eastAsia="宋体" w:cs="宋体"/>
          <w:highlight w:val="none"/>
        </w:rPr>
      </w:pPr>
    </w:p>
    <w:p w14:paraId="128D7D43">
      <w:pPr>
        <w:pStyle w:val="83"/>
        <w:rPr>
          <w:rFonts w:hint="eastAsia" w:ascii="宋体" w:hAnsi="宋体" w:eastAsia="宋体" w:cs="宋体"/>
          <w:highlight w:val="none"/>
        </w:rPr>
      </w:pPr>
    </w:p>
    <w:p w14:paraId="2214B275">
      <w:pPr>
        <w:rPr>
          <w:rFonts w:hint="eastAsia" w:ascii="宋体" w:hAnsi="宋体" w:eastAsia="宋体" w:cs="宋体"/>
          <w:highlight w:val="none"/>
        </w:rPr>
      </w:pPr>
    </w:p>
    <w:p w14:paraId="779531F0">
      <w:pPr>
        <w:pStyle w:val="81"/>
        <w:rPr>
          <w:rFonts w:hint="eastAsia"/>
        </w:rPr>
      </w:pPr>
    </w:p>
    <w:p w14:paraId="0D51BDF2">
      <w:pPr>
        <w:pStyle w:val="81"/>
        <w:rPr>
          <w:rFonts w:hint="eastAsia"/>
        </w:rPr>
      </w:pPr>
    </w:p>
    <w:p w14:paraId="19D37089">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项目名称：</w:t>
      </w:r>
      <w:r>
        <w:rPr>
          <w:rFonts w:hint="eastAsia" w:ascii="宋体" w:hAnsi="宋体" w:cs="宋体"/>
          <w:bCs/>
          <w:color w:val="000000"/>
          <w:sz w:val="24"/>
          <w:highlight w:val="none"/>
          <w:lang w:val="zh-CN" w:eastAsia="zh-CN"/>
        </w:rPr>
        <w:t>2024年桐庐县青少年宫消防维保单位采购项目</w:t>
      </w:r>
    </w:p>
    <w:p w14:paraId="42A4CB15">
      <w:pPr>
        <w:snapToGrid w:val="0"/>
        <w:spacing w:before="240" w:beforeLines="100" w:after="240" w:afterLines="100"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eastAsia="宋体" w:cs="宋体"/>
          <w:bCs/>
          <w:color w:val="000000"/>
          <w:sz w:val="24"/>
          <w:highlight w:val="none"/>
          <w:lang w:val="zh-CN" w:eastAsia="zh-CN"/>
        </w:rPr>
        <w:t>项目编号：</w:t>
      </w:r>
      <w:r>
        <w:rPr>
          <w:rFonts w:hint="eastAsia" w:ascii="宋体" w:hAnsi="宋体" w:cs="宋体"/>
          <w:bCs/>
          <w:color w:val="000000"/>
          <w:sz w:val="24"/>
          <w:highlight w:val="none"/>
          <w:lang w:val="zh-CN" w:eastAsia="zh-CN"/>
        </w:rPr>
        <w:t>QZ23301222024025</w:t>
      </w:r>
    </w:p>
    <w:p w14:paraId="40EC49C0">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cs="宋体"/>
          <w:bCs/>
          <w:color w:val="000000"/>
          <w:sz w:val="24"/>
          <w:highlight w:val="none"/>
          <w:lang w:eastAsia="zh-CN"/>
        </w:rPr>
        <w:t>投标单位</w:t>
      </w:r>
      <w:r>
        <w:rPr>
          <w:rFonts w:hint="eastAsia" w:ascii="宋体" w:hAnsi="宋体" w:eastAsia="宋体" w:cs="宋体"/>
          <w:bCs/>
          <w:color w:val="000000"/>
          <w:sz w:val="24"/>
          <w:highlight w:val="none"/>
        </w:rPr>
        <w:t>名称（盖章）：</w:t>
      </w:r>
    </w:p>
    <w:p w14:paraId="3854A78A">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cs="宋体"/>
          <w:bCs/>
          <w:color w:val="000000"/>
          <w:sz w:val="24"/>
          <w:highlight w:val="none"/>
          <w:lang w:eastAsia="zh-CN"/>
        </w:rPr>
        <w:t>投标单位</w:t>
      </w:r>
      <w:r>
        <w:rPr>
          <w:rFonts w:hint="eastAsia" w:ascii="宋体" w:hAnsi="宋体" w:eastAsia="宋体" w:cs="宋体"/>
          <w:bCs/>
          <w:color w:val="000000"/>
          <w:sz w:val="24"/>
          <w:highlight w:val="none"/>
        </w:rPr>
        <w:t>地址：</w:t>
      </w:r>
    </w:p>
    <w:p w14:paraId="302207EA">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法定代表人</w:t>
      </w:r>
      <w:r>
        <w:rPr>
          <w:rFonts w:hint="eastAsia" w:ascii="宋体" w:hAnsi="宋体" w:cs="宋体"/>
          <w:bCs/>
          <w:color w:val="000000"/>
          <w:sz w:val="24"/>
          <w:highlight w:val="none"/>
          <w:lang w:val="en-US" w:eastAsia="zh-CN"/>
        </w:rPr>
        <w:t>或</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委托代理人）</w:t>
      </w:r>
      <w:r>
        <w:rPr>
          <w:rFonts w:hint="eastAsia" w:ascii="宋体" w:hAnsi="宋体" w:eastAsia="宋体" w:cs="宋体"/>
          <w:bCs/>
          <w:color w:val="000000"/>
          <w:sz w:val="24"/>
          <w:highlight w:val="none"/>
        </w:rPr>
        <w:t>签字或盖章：</w:t>
      </w:r>
    </w:p>
    <w:p w14:paraId="33321155">
      <w:pPr>
        <w:snapToGrid w:val="0"/>
        <w:spacing w:before="240" w:beforeLines="100" w:after="240" w:afterLines="100" w:line="360" w:lineRule="auto"/>
        <w:ind w:firstLine="480" w:firstLineChars="200"/>
        <w:rPr>
          <w:rFonts w:hint="eastAsia" w:ascii="宋体" w:hAnsi="宋体" w:eastAsia="宋体" w:cs="宋体"/>
          <w:bCs/>
          <w:color w:val="000000"/>
          <w:sz w:val="24"/>
          <w:highlight w:val="none"/>
        </w:rPr>
      </w:pPr>
    </w:p>
    <w:p w14:paraId="5A7E8CC0">
      <w:pPr>
        <w:snapToGrid w:val="0"/>
        <w:spacing w:line="360" w:lineRule="auto"/>
        <w:ind w:firstLine="480" w:firstLineChars="200"/>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                        年  月  日</w:t>
      </w:r>
    </w:p>
    <w:p w14:paraId="77D28E1E">
      <w:pPr>
        <w:pStyle w:val="81"/>
        <w:rPr>
          <w:rFonts w:hint="eastAsia"/>
        </w:rPr>
      </w:pPr>
    </w:p>
    <w:p w14:paraId="09E54B33">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bCs/>
          <w:color w:val="000000"/>
          <w:sz w:val="24"/>
          <w:highlight w:val="none"/>
        </w:rPr>
        <w:t>注：</w:t>
      </w:r>
      <w:r>
        <w:rPr>
          <w:rFonts w:hint="eastAsia" w:ascii="宋体" w:hAnsi="宋体" w:cs="宋体"/>
          <w:b/>
          <w:bCs/>
          <w:color w:val="000000"/>
          <w:sz w:val="24"/>
          <w:highlight w:val="none"/>
          <w:lang w:eastAsia="zh-CN"/>
        </w:rPr>
        <w:t>投标单位</w:t>
      </w:r>
      <w:r>
        <w:rPr>
          <w:rFonts w:hint="eastAsia" w:ascii="宋体" w:hAnsi="宋体" w:eastAsia="宋体" w:cs="宋体"/>
          <w:b/>
          <w:bCs/>
          <w:color w:val="000000"/>
          <w:sz w:val="24"/>
          <w:highlight w:val="none"/>
        </w:rPr>
        <w:t>应按资</w:t>
      </w:r>
      <w:r>
        <w:rPr>
          <w:rFonts w:hint="eastAsia" w:ascii="宋体" w:hAnsi="宋体" w:cs="宋体"/>
          <w:b/>
          <w:bCs/>
          <w:color w:val="000000"/>
          <w:sz w:val="24"/>
          <w:highlight w:val="none"/>
          <w:lang w:val="en-US" w:eastAsia="zh-CN"/>
        </w:rPr>
        <w:t>格</w:t>
      </w:r>
      <w:r>
        <w:rPr>
          <w:rFonts w:hint="eastAsia" w:ascii="宋体" w:hAnsi="宋体" w:eastAsia="宋体" w:cs="宋体"/>
          <w:b/>
          <w:bCs/>
          <w:color w:val="000000"/>
          <w:sz w:val="24"/>
          <w:highlight w:val="none"/>
        </w:rPr>
        <w:t>文件、报价文件分别进行编制、装订、封装投标文件</w:t>
      </w:r>
    </w:p>
    <w:p w14:paraId="2E7A8499">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1A7E4E98">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24494CC2">
      <w:pPr>
        <w:spacing w:line="360" w:lineRule="auto"/>
        <w:jc w:val="center"/>
        <w:outlineLvl w:val="0"/>
        <w:rPr>
          <w:rFonts w:hint="eastAsia" w:ascii="宋体" w:hAnsi="宋体" w:eastAsia="宋体" w:cs="宋体"/>
          <w:b/>
          <w:kern w:val="0"/>
          <w:sz w:val="36"/>
          <w:szCs w:val="36"/>
        </w:rPr>
      </w:pPr>
    </w:p>
    <w:p w14:paraId="614C1531">
      <w:pPr>
        <w:numPr>
          <w:ilvl w:val="0"/>
          <w:numId w:val="0"/>
        </w:numPr>
        <w:snapToGrid w:val="0"/>
        <w:spacing w:line="360" w:lineRule="auto"/>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符合参加采购活动应当具备的一般条件的承诺函………………………（页码）</w:t>
      </w:r>
    </w:p>
    <w:p w14:paraId="4447D3B5">
      <w:pPr>
        <w:numPr>
          <w:ilvl w:val="0"/>
          <w:numId w:val="0"/>
        </w:num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val="zh-CN"/>
        </w:rPr>
        <w:t>采购供应商廉洁自律承诺书</w:t>
      </w:r>
      <w:r>
        <w:rPr>
          <w:rFonts w:hint="eastAsia" w:ascii="宋体" w:hAnsi="宋体" w:eastAsia="宋体" w:cs="宋体"/>
          <w:sz w:val="24"/>
        </w:rPr>
        <w:t>………………………………………………（页码）</w:t>
      </w:r>
    </w:p>
    <w:p w14:paraId="7BB5511D">
      <w:pPr>
        <w:numPr>
          <w:ilvl w:val="0"/>
          <w:numId w:val="0"/>
        </w:num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）落实采购政策需满足的资格要求…………………………………………（页码）</w:t>
      </w:r>
    </w:p>
    <w:p w14:paraId="181BFDD1">
      <w:pPr>
        <w:numPr>
          <w:ilvl w:val="0"/>
          <w:numId w:val="0"/>
        </w:num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w:t>
      </w:r>
      <w:r>
        <w:rPr>
          <w:rFonts w:hint="eastAsia" w:ascii="宋体" w:hAnsi="宋体" w:eastAsia="宋体" w:cs="宋体"/>
          <w:sz w:val="24"/>
          <w:lang w:eastAsia="zh-CN"/>
        </w:rPr>
        <w:t>投标函</w:t>
      </w:r>
      <w:r>
        <w:rPr>
          <w:rFonts w:hint="eastAsia" w:ascii="宋体" w:hAnsi="宋体" w:eastAsia="宋体" w:cs="宋体"/>
          <w:sz w:val="24"/>
        </w:rPr>
        <w:t>………………………………………………………………………（页码）</w:t>
      </w:r>
    </w:p>
    <w:p w14:paraId="7A16BE6E">
      <w:pPr>
        <w:numPr>
          <w:ilvl w:val="0"/>
          <w:numId w:val="0"/>
        </w:numPr>
        <w:snapToGrid w:val="0"/>
        <w:spacing w:line="360" w:lineRule="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）授权委托书或法定代表人（单位负责人）身份证明……………………（页码）</w:t>
      </w:r>
    </w:p>
    <w:p w14:paraId="22840E37">
      <w:pPr>
        <w:numPr>
          <w:ilvl w:val="0"/>
          <w:numId w:val="0"/>
        </w:numPr>
        <w:snapToGrid w:val="0"/>
        <w:spacing w:line="360" w:lineRule="auto"/>
        <w:rPr>
          <w:rFonts w:hint="eastAsia" w:ascii="宋体" w:hAnsi="宋体" w:eastAsia="宋体" w:cs="宋体"/>
          <w:sz w:val="24"/>
        </w:rPr>
      </w:pPr>
      <w:r>
        <w:rPr>
          <w:rFonts w:hint="eastAsia" w:ascii="宋体" w:hAnsi="宋体" w:eastAsia="宋体" w:cs="宋体"/>
          <w:sz w:val="24"/>
          <w:lang w:val="zh-CN" w:eastAsia="zh-CN"/>
        </w:rPr>
        <w:t>（</w:t>
      </w:r>
      <w:r>
        <w:rPr>
          <w:rFonts w:hint="eastAsia" w:ascii="宋体" w:hAnsi="宋体" w:eastAsia="宋体" w:cs="宋体"/>
          <w:sz w:val="24"/>
          <w:lang w:val="en-US" w:eastAsia="zh-CN"/>
        </w:rPr>
        <w:t>6</w:t>
      </w:r>
      <w:r>
        <w:rPr>
          <w:rFonts w:hint="eastAsia" w:ascii="宋体" w:hAnsi="宋体" w:eastAsia="宋体" w:cs="宋体"/>
          <w:sz w:val="24"/>
          <w:lang w:val="zh-CN" w:eastAsia="zh-CN"/>
        </w:rPr>
        <w:t>）</w:t>
      </w:r>
      <w:r>
        <w:rPr>
          <w:rFonts w:hint="eastAsia" w:ascii="宋体" w:hAnsi="宋体" w:eastAsia="宋体" w:cs="宋体"/>
          <w:sz w:val="24"/>
          <w:lang w:val="en-US" w:eastAsia="zh-CN"/>
        </w:rPr>
        <w:t>企业营业执照</w:t>
      </w:r>
      <w:r>
        <w:rPr>
          <w:rFonts w:hint="eastAsia" w:ascii="宋体" w:hAnsi="宋体" w:eastAsia="宋体" w:cs="宋体"/>
          <w:sz w:val="24"/>
          <w:lang w:val="zh-CN"/>
        </w:rPr>
        <w:t>……</w:t>
      </w:r>
      <w:r>
        <w:rPr>
          <w:rFonts w:hint="eastAsia" w:ascii="宋体" w:hAnsi="宋体" w:eastAsia="宋体" w:cs="宋体"/>
          <w:sz w:val="24"/>
        </w:rPr>
        <w:t>…………………………………………………………（页码）</w:t>
      </w:r>
    </w:p>
    <w:p w14:paraId="633E15F6">
      <w:pPr>
        <w:numPr>
          <w:ilvl w:val="0"/>
          <w:numId w:val="0"/>
        </w:numPr>
        <w:snapToGrid w:val="0"/>
        <w:spacing w:line="360" w:lineRule="auto"/>
        <w:rPr>
          <w:rFonts w:hint="eastAsia" w:ascii="宋体" w:hAnsi="宋体" w:eastAsia="宋体" w:cs="宋体"/>
          <w:sz w:val="24"/>
        </w:rPr>
      </w:pPr>
      <w:r>
        <w:rPr>
          <w:rFonts w:hint="eastAsia" w:ascii="宋体" w:hAnsi="宋体" w:eastAsia="宋体" w:cs="宋体"/>
          <w:sz w:val="24"/>
          <w:lang w:val="zh-CN" w:eastAsia="zh-CN"/>
        </w:rPr>
        <w:t>（</w:t>
      </w:r>
      <w:r>
        <w:rPr>
          <w:rFonts w:hint="eastAsia" w:ascii="宋体" w:hAnsi="宋体" w:eastAsia="宋体" w:cs="宋体"/>
          <w:sz w:val="24"/>
          <w:lang w:val="en-US" w:eastAsia="zh-CN"/>
        </w:rPr>
        <w:t>7</w:t>
      </w:r>
      <w:r>
        <w:rPr>
          <w:rFonts w:hint="eastAsia" w:ascii="宋体" w:hAnsi="宋体" w:eastAsia="宋体" w:cs="宋体"/>
          <w:sz w:val="24"/>
          <w:lang w:val="zh-CN" w:eastAsia="zh-CN"/>
        </w:rPr>
        <w:t>）</w:t>
      </w:r>
      <w:r>
        <w:rPr>
          <w:rFonts w:hint="eastAsia" w:ascii="宋体" w:hAnsi="宋体" w:eastAsia="宋体" w:cs="宋体"/>
          <w:sz w:val="24"/>
          <w:lang w:val="zh-CN"/>
        </w:rPr>
        <w:t>本项目的特定资格要求</w:t>
      </w:r>
      <w:r>
        <w:rPr>
          <w:rFonts w:hint="eastAsia" w:ascii="宋体" w:hAnsi="宋体" w:cs="宋体"/>
          <w:sz w:val="24"/>
          <w:lang w:val="zh-CN"/>
        </w:rPr>
        <w:t>（如有）</w:t>
      </w:r>
      <w:r>
        <w:rPr>
          <w:rFonts w:hint="eastAsia" w:ascii="宋体" w:hAnsi="宋体" w:eastAsia="宋体" w:cs="宋体"/>
          <w:sz w:val="24"/>
          <w:lang w:val="zh-CN"/>
        </w:rPr>
        <w:t>……</w:t>
      </w:r>
      <w:r>
        <w:rPr>
          <w:rFonts w:hint="eastAsia" w:ascii="宋体" w:hAnsi="宋体" w:eastAsia="宋体" w:cs="宋体"/>
          <w:sz w:val="24"/>
        </w:rPr>
        <w:t>……………………………………（页码）</w:t>
      </w:r>
    </w:p>
    <w:p w14:paraId="48D72FD4">
      <w:pPr>
        <w:tabs>
          <w:tab w:val="center" w:pos="4535"/>
        </w:tabs>
        <w:snapToGrid w:val="0"/>
        <w:spacing w:line="360" w:lineRule="auto"/>
        <w:rPr>
          <w:rFonts w:hint="eastAsia" w:ascii="宋体" w:hAnsi="宋体" w:eastAsia="宋体" w:cs="宋体"/>
          <w:lang w:val="zh-CN"/>
        </w:rPr>
      </w:pPr>
    </w:p>
    <w:p w14:paraId="347981DD">
      <w:pPr>
        <w:pStyle w:val="83"/>
        <w:rPr>
          <w:rFonts w:hint="eastAsia"/>
          <w:lang w:val="zh-CN"/>
        </w:rPr>
      </w:pPr>
    </w:p>
    <w:p w14:paraId="4DC39125">
      <w:pPr>
        <w:snapToGrid w:val="0"/>
        <w:spacing w:line="360" w:lineRule="auto"/>
        <w:ind w:firstLine="480" w:firstLineChars="200"/>
        <w:rPr>
          <w:rFonts w:hint="eastAsia" w:ascii="宋体" w:hAnsi="宋体" w:eastAsia="宋体" w:cs="宋体"/>
          <w:sz w:val="24"/>
        </w:rPr>
      </w:pPr>
    </w:p>
    <w:p w14:paraId="283832FB">
      <w:pPr>
        <w:spacing w:line="360" w:lineRule="auto"/>
        <w:ind w:firstLine="480" w:firstLineChars="200"/>
        <w:rPr>
          <w:rFonts w:hint="eastAsia" w:ascii="宋体" w:hAnsi="宋体" w:eastAsia="宋体" w:cs="宋体"/>
          <w:sz w:val="24"/>
        </w:rPr>
      </w:pPr>
    </w:p>
    <w:p w14:paraId="760C1045">
      <w:pPr>
        <w:snapToGrid w:val="0"/>
        <w:spacing w:line="360" w:lineRule="auto"/>
        <w:ind w:right="480"/>
        <w:jc w:val="center"/>
        <w:rPr>
          <w:rFonts w:hint="eastAsia" w:ascii="宋体" w:hAnsi="宋体" w:eastAsia="宋体" w:cs="宋体"/>
          <w:b/>
          <w:kern w:val="0"/>
          <w:sz w:val="32"/>
          <w:szCs w:val="32"/>
        </w:rPr>
      </w:pPr>
    </w:p>
    <w:p w14:paraId="014DCDBB">
      <w:pPr>
        <w:snapToGrid w:val="0"/>
        <w:spacing w:line="360" w:lineRule="auto"/>
        <w:ind w:right="480"/>
        <w:jc w:val="center"/>
        <w:rPr>
          <w:rFonts w:hint="eastAsia" w:ascii="宋体" w:hAnsi="宋体" w:eastAsia="宋体" w:cs="宋体"/>
          <w:b/>
          <w:kern w:val="0"/>
          <w:sz w:val="32"/>
          <w:szCs w:val="32"/>
        </w:rPr>
      </w:pPr>
    </w:p>
    <w:p w14:paraId="6F99610F">
      <w:pPr>
        <w:snapToGrid w:val="0"/>
        <w:spacing w:line="360" w:lineRule="auto"/>
        <w:ind w:right="480"/>
        <w:jc w:val="center"/>
        <w:rPr>
          <w:rFonts w:hint="eastAsia" w:ascii="宋体" w:hAnsi="宋体" w:eastAsia="宋体" w:cs="宋体"/>
          <w:b/>
          <w:kern w:val="0"/>
          <w:sz w:val="32"/>
          <w:szCs w:val="32"/>
        </w:rPr>
      </w:pPr>
    </w:p>
    <w:p w14:paraId="0B613A28">
      <w:pPr>
        <w:snapToGrid w:val="0"/>
        <w:spacing w:line="360" w:lineRule="auto"/>
        <w:ind w:right="480"/>
        <w:jc w:val="center"/>
        <w:rPr>
          <w:rFonts w:hint="eastAsia" w:ascii="宋体" w:hAnsi="宋体" w:eastAsia="宋体" w:cs="宋体"/>
          <w:b/>
          <w:kern w:val="0"/>
          <w:sz w:val="32"/>
          <w:szCs w:val="32"/>
        </w:rPr>
      </w:pPr>
    </w:p>
    <w:p w14:paraId="2F82350E">
      <w:pPr>
        <w:pStyle w:val="83"/>
        <w:rPr>
          <w:rFonts w:hint="eastAsia" w:ascii="宋体" w:hAnsi="宋体" w:eastAsia="宋体" w:cs="宋体"/>
          <w:b/>
          <w:kern w:val="0"/>
          <w:sz w:val="32"/>
          <w:szCs w:val="32"/>
        </w:rPr>
      </w:pPr>
    </w:p>
    <w:p w14:paraId="606A19A3">
      <w:pPr>
        <w:pStyle w:val="83"/>
        <w:rPr>
          <w:rFonts w:hint="eastAsia" w:ascii="宋体" w:hAnsi="宋体" w:eastAsia="宋体" w:cs="宋体"/>
          <w:b/>
          <w:kern w:val="0"/>
          <w:sz w:val="32"/>
          <w:szCs w:val="32"/>
        </w:rPr>
      </w:pPr>
    </w:p>
    <w:p w14:paraId="7DE8B3B8">
      <w:pPr>
        <w:pStyle w:val="83"/>
        <w:rPr>
          <w:rFonts w:hint="eastAsia" w:ascii="宋体" w:hAnsi="宋体" w:eastAsia="宋体" w:cs="宋体"/>
          <w:b/>
          <w:kern w:val="0"/>
          <w:sz w:val="32"/>
          <w:szCs w:val="32"/>
        </w:rPr>
      </w:pPr>
    </w:p>
    <w:p w14:paraId="455B85B0">
      <w:pPr>
        <w:pStyle w:val="83"/>
        <w:rPr>
          <w:rFonts w:hint="eastAsia" w:ascii="宋体" w:hAnsi="宋体" w:eastAsia="宋体" w:cs="宋体"/>
          <w:b/>
          <w:kern w:val="0"/>
          <w:sz w:val="32"/>
          <w:szCs w:val="32"/>
        </w:rPr>
      </w:pPr>
    </w:p>
    <w:p w14:paraId="16B979B1">
      <w:pPr>
        <w:pStyle w:val="83"/>
        <w:rPr>
          <w:rFonts w:hint="eastAsia" w:ascii="宋体" w:hAnsi="宋体" w:eastAsia="宋体" w:cs="宋体"/>
          <w:b/>
          <w:kern w:val="0"/>
          <w:sz w:val="32"/>
          <w:szCs w:val="32"/>
        </w:rPr>
      </w:pPr>
    </w:p>
    <w:p w14:paraId="4E1E8434">
      <w:pPr>
        <w:pStyle w:val="83"/>
        <w:rPr>
          <w:rFonts w:hint="eastAsia" w:ascii="宋体" w:hAnsi="宋体" w:eastAsia="宋体" w:cs="宋体"/>
          <w:b/>
          <w:kern w:val="0"/>
          <w:sz w:val="32"/>
          <w:szCs w:val="32"/>
        </w:rPr>
      </w:pPr>
    </w:p>
    <w:p w14:paraId="7DB515F9">
      <w:pPr>
        <w:pStyle w:val="83"/>
        <w:rPr>
          <w:rFonts w:hint="eastAsia" w:ascii="宋体" w:hAnsi="宋体" w:eastAsia="宋体" w:cs="宋体"/>
          <w:b/>
          <w:kern w:val="0"/>
          <w:sz w:val="32"/>
          <w:szCs w:val="32"/>
        </w:rPr>
      </w:pPr>
    </w:p>
    <w:p w14:paraId="06A3FBD1">
      <w:pPr>
        <w:pStyle w:val="83"/>
        <w:rPr>
          <w:rFonts w:hint="eastAsia" w:ascii="宋体" w:hAnsi="宋体" w:eastAsia="宋体" w:cs="宋体"/>
          <w:b/>
          <w:kern w:val="0"/>
          <w:sz w:val="32"/>
          <w:szCs w:val="32"/>
        </w:rPr>
      </w:pPr>
    </w:p>
    <w:p w14:paraId="7C8A26E5">
      <w:pPr>
        <w:snapToGrid w:val="0"/>
        <w:spacing w:line="360" w:lineRule="auto"/>
        <w:ind w:right="480"/>
        <w:jc w:val="both"/>
        <w:rPr>
          <w:rFonts w:hint="eastAsia" w:ascii="宋体" w:hAnsi="宋体" w:eastAsia="宋体" w:cs="宋体"/>
          <w:b/>
          <w:kern w:val="0"/>
          <w:sz w:val="32"/>
          <w:szCs w:val="32"/>
        </w:rPr>
      </w:pPr>
    </w:p>
    <w:p w14:paraId="402B9A9A">
      <w:pPr>
        <w:pStyle w:val="81"/>
        <w:rPr>
          <w:rFonts w:hint="eastAsia"/>
        </w:rPr>
      </w:pPr>
    </w:p>
    <w:p w14:paraId="1DFAC15A">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一、 符合参加采购活动应当具备的一般条件的承诺函</w:t>
      </w:r>
    </w:p>
    <w:p w14:paraId="3D97D39C">
      <w:pPr>
        <w:snapToGrid w:val="0"/>
        <w:spacing w:line="360" w:lineRule="auto"/>
        <w:rPr>
          <w:rFonts w:hint="eastAsia" w:ascii="宋体" w:hAnsi="宋体" w:eastAsia="宋体" w:cs="宋体"/>
          <w:color w:val="FF0000"/>
          <w:sz w:val="24"/>
        </w:rPr>
      </w:pPr>
      <w:r>
        <w:rPr>
          <w:rFonts w:hint="eastAsia" w:ascii="宋体" w:hAnsi="宋体" w:cs="宋体"/>
          <w:color w:val="FF0000"/>
          <w:sz w:val="24"/>
          <w:lang w:eastAsia="zh-CN"/>
        </w:rPr>
        <w:t>桐庐县青少年宫</w:t>
      </w:r>
      <w:r>
        <w:rPr>
          <w:rFonts w:hint="eastAsia" w:ascii="宋体" w:hAnsi="宋体" w:eastAsia="宋体" w:cs="宋体"/>
          <w:color w:val="FF0000"/>
          <w:sz w:val="24"/>
          <w:lang w:eastAsia="zh-CN"/>
        </w:rPr>
        <w:t>、杭州全咨项目管理有限公司</w:t>
      </w:r>
      <w:r>
        <w:rPr>
          <w:rFonts w:hint="eastAsia" w:ascii="宋体" w:hAnsi="宋体" w:eastAsia="宋体" w:cs="宋体"/>
          <w:color w:val="FF0000"/>
          <w:sz w:val="24"/>
        </w:rPr>
        <w:t>：</w:t>
      </w:r>
    </w:p>
    <w:p w14:paraId="3E3D892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w:t>
      </w:r>
      <w:r>
        <w:rPr>
          <w:rFonts w:hint="eastAsia" w:ascii="宋体" w:hAnsi="宋体" w:cs="宋体"/>
          <w:color w:val="FF0000"/>
          <w:sz w:val="24"/>
          <w:lang w:eastAsia="zh-CN"/>
        </w:rPr>
        <w:t>2024年桐庐县青少年宫消防维保单位采购项目</w:t>
      </w:r>
      <w:r>
        <w:rPr>
          <w:rFonts w:hint="eastAsia" w:ascii="宋体" w:hAnsi="宋体" w:eastAsia="宋体" w:cs="宋体"/>
          <w:sz w:val="24"/>
        </w:rPr>
        <w:t>【招标编号：</w:t>
      </w:r>
      <w:r>
        <w:rPr>
          <w:rFonts w:hint="eastAsia" w:ascii="宋体" w:hAnsi="宋体" w:cs="宋体"/>
          <w:color w:val="FF0000"/>
          <w:sz w:val="24"/>
          <w:lang w:eastAsia="zh-CN"/>
        </w:rPr>
        <w:t>QZ23301222024025</w:t>
      </w:r>
      <w:r>
        <w:rPr>
          <w:rFonts w:hint="eastAsia" w:ascii="宋体" w:hAnsi="宋体" w:eastAsia="宋体" w:cs="宋体"/>
          <w:sz w:val="24"/>
        </w:rPr>
        <w:t>】采购活动，郑重承诺：</w:t>
      </w:r>
    </w:p>
    <w:p w14:paraId="0DBCD867">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4DCFE43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405329A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04D106A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15DC6C5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5A3FB90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5、参加采购活动前三年内，在经营活动中没有重大违法记录；</w:t>
      </w:r>
    </w:p>
    <w:p w14:paraId="1887024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E8244D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w:t>
      </w:r>
      <w:r>
        <w:rPr>
          <w:rFonts w:hint="eastAsia" w:ascii="宋体" w:hAnsi="宋体" w:cs="宋体"/>
          <w:sz w:val="24"/>
          <w:lang w:eastAsia="zh-CN"/>
        </w:rPr>
        <w:t>）</w:t>
      </w:r>
      <w:r>
        <w:rPr>
          <w:rFonts w:hint="eastAsia" w:ascii="宋体" w:hAnsi="宋体" w:eastAsia="宋体" w:cs="宋体"/>
          <w:sz w:val="24"/>
        </w:rPr>
        <w:t>、中国政府采购网（www.ccgp.gov.cn）列入失信被执行人、重大税收违法案件当事人名单、采购严重违法失信行为记录名单。</w:t>
      </w:r>
    </w:p>
    <w:p w14:paraId="204898A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4A927FF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1、单位负责人为同一人或者存在直接控股、管理关系的不同供应商参加同一合同项下的采购活动的；</w:t>
      </w:r>
    </w:p>
    <w:p w14:paraId="6CE88C9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5E5099BF">
      <w:pPr>
        <w:pStyle w:val="27"/>
        <w:rPr>
          <w:rFonts w:hint="eastAsia" w:ascii="宋体" w:hAnsi="宋体" w:eastAsia="宋体" w:cs="宋体"/>
          <w:sz w:val="24"/>
        </w:rPr>
      </w:pPr>
    </w:p>
    <w:p w14:paraId="3E67F0FB">
      <w:pPr>
        <w:pStyle w:val="28"/>
        <w:rPr>
          <w:rFonts w:hint="eastAsia"/>
        </w:rPr>
      </w:pPr>
    </w:p>
    <w:p w14:paraId="2DFA0D75">
      <w:pPr>
        <w:snapToGrid w:val="0"/>
        <w:spacing w:line="360" w:lineRule="auto"/>
        <w:ind w:firstLine="5520" w:firstLineChars="2300"/>
        <w:rPr>
          <w:rFonts w:hint="eastAsia" w:ascii="宋体" w:hAnsi="宋体" w:eastAsia="宋体" w:cs="宋体"/>
          <w:kern w:val="0"/>
          <w:sz w:val="24"/>
        </w:rPr>
      </w:pPr>
      <w:r>
        <w:rPr>
          <w:rFonts w:hint="eastAsia" w:ascii="宋体" w:hAnsi="宋体" w:cs="宋体"/>
          <w:kern w:val="0"/>
          <w:sz w:val="24"/>
          <w:lang w:val="zh-CN"/>
        </w:rPr>
        <w:t>投标单位</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cs="宋体"/>
          <w:kern w:val="0"/>
          <w:sz w:val="24"/>
          <w:lang w:val="en-US" w:eastAsia="zh-CN"/>
        </w:rPr>
        <w:t>盖章</w:t>
      </w:r>
      <w:r>
        <w:rPr>
          <w:rFonts w:hint="eastAsia" w:ascii="宋体" w:hAnsi="宋体" w:cs="宋体"/>
          <w:kern w:val="0"/>
          <w:sz w:val="24"/>
          <w:lang w:val="zh-CN"/>
        </w:rPr>
        <w:t>）</w:t>
      </w:r>
      <w:r>
        <w:rPr>
          <w:rFonts w:hint="eastAsia" w:ascii="宋体" w:hAnsi="宋体" w:eastAsia="宋体" w:cs="宋体"/>
          <w:kern w:val="0"/>
          <w:sz w:val="24"/>
          <w:lang w:val="zh-CN"/>
        </w:rPr>
        <w:t>：</w:t>
      </w:r>
    </w:p>
    <w:p w14:paraId="04B97A92">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w:t>
      </w:r>
    </w:p>
    <w:p w14:paraId="7EB1AF84">
      <w:pPr>
        <w:snapToGrid w:val="0"/>
        <w:spacing w:line="360" w:lineRule="auto"/>
        <w:ind w:right="480"/>
        <w:jc w:val="center"/>
        <w:rPr>
          <w:rFonts w:hint="eastAsia" w:ascii="宋体" w:hAnsi="宋体" w:eastAsia="宋体" w:cs="宋体"/>
          <w:b/>
          <w:kern w:val="0"/>
          <w:sz w:val="32"/>
          <w:szCs w:val="32"/>
        </w:rPr>
      </w:pPr>
    </w:p>
    <w:p w14:paraId="51149C94">
      <w:pPr>
        <w:snapToGrid w:val="0"/>
        <w:spacing w:line="360" w:lineRule="auto"/>
        <w:ind w:right="480"/>
        <w:jc w:val="center"/>
        <w:rPr>
          <w:rFonts w:hint="eastAsia" w:ascii="宋体" w:hAnsi="宋体" w:eastAsia="宋体" w:cs="宋体"/>
          <w:b/>
          <w:kern w:val="0"/>
          <w:sz w:val="32"/>
          <w:szCs w:val="32"/>
        </w:rPr>
      </w:pPr>
    </w:p>
    <w:p w14:paraId="5D5CDCE3">
      <w:pPr>
        <w:snapToGrid w:val="0"/>
        <w:spacing w:line="360" w:lineRule="auto"/>
        <w:ind w:right="480"/>
        <w:jc w:val="center"/>
        <w:rPr>
          <w:rFonts w:hint="eastAsia" w:ascii="宋体" w:hAnsi="宋体" w:eastAsia="宋体" w:cs="宋体"/>
          <w:b/>
          <w:kern w:val="0"/>
          <w:sz w:val="32"/>
          <w:szCs w:val="32"/>
        </w:rPr>
      </w:pPr>
    </w:p>
    <w:p w14:paraId="525209AE">
      <w:pPr>
        <w:rPr>
          <w:rFonts w:hint="eastAsia" w:ascii="宋体" w:hAnsi="宋体" w:eastAsia="宋体" w:cs="宋体"/>
        </w:rPr>
      </w:pPr>
    </w:p>
    <w:p w14:paraId="46E819BE">
      <w:pPr>
        <w:snapToGrid w:val="0"/>
        <w:spacing w:line="360" w:lineRule="auto"/>
        <w:ind w:right="480"/>
        <w:jc w:val="center"/>
        <w:rPr>
          <w:rFonts w:hint="eastAsia" w:ascii="宋体" w:hAnsi="宋体" w:eastAsia="宋体" w:cs="宋体"/>
          <w:b/>
          <w:kern w:val="0"/>
          <w:sz w:val="32"/>
          <w:szCs w:val="32"/>
        </w:rPr>
      </w:pPr>
    </w:p>
    <w:p w14:paraId="1B5EB88E">
      <w:pPr>
        <w:pStyle w:val="27"/>
        <w:rPr>
          <w:rFonts w:hint="eastAsia" w:ascii="宋体" w:hAnsi="宋体" w:eastAsia="宋体" w:cs="宋体"/>
          <w:b/>
          <w:kern w:val="0"/>
          <w:sz w:val="32"/>
          <w:szCs w:val="32"/>
        </w:rPr>
      </w:pPr>
    </w:p>
    <w:p w14:paraId="50067799">
      <w:pPr>
        <w:keepNext w:val="0"/>
        <w:keepLines w:val="0"/>
        <w:pageBreakBefore w:val="0"/>
        <w:widowControl w:val="0"/>
        <w:kinsoku/>
        <w:wordWrap/>
        <w:overflowPunct/>
        <w:topLinePunct w:val="0"/>
        <w:autoSpaceDE/>
        <w:autoSpaceDN/>
        <w:bidi w:val="0"/>
        <w:adjustRightInd w:val="0"/>
        <w:snapToGrid/>
        <w:spacing w:before="157" w:beforeLines="50" w:after="313" w:afterLines="100"/>
        <w:jc w:val="center"/>
        <w:textAlignment w:val="auto"/>
        <w:rPr>
          <w:rFonts w:hint="eastAsia" w:ascii="宋体" w:hAnsi="宋体" w:eastAsia="宋体" w:cs="宋体"/>
          <w:sz w:val="24"/>
        </w:rPr>
      </w:pPr>
      <w:r>
        <w:rPr>
          <w:rFonts w:hint="eastAsia" w:ascii="宋体" w:hAnsi="宋体" w:eastAsia="宋体" w:cs="宋体"/>
          <w:b/>
          <w:kern w:val="0"/>
          <w:sz w:val="32"/>
          <w:szCs w:val="32"/>
          <w:lang w:val="en-US" w:eastAsia="zh-CN"/>
        </w:rPr>
        <w:t>二、</w:t>
      </w:r>
      <w:r>
        <w:rPr>
          <w:rFonts w:hint="eastAsia" w:ascii="宋体" w:hAnsi="宋体" w:eastAsia="宋体" w:cs="宋体"/>
          <w:b/>
          <w:kern w:val="0"/>
          <w:sz w:val="32"/>
          <w:szCs w:val="32"/>
          <w:lang w:val="zh-CN"/>
        </w:rPr>
        <w:t>采购供应商廉洁自律承诺书</w:t>
      </w:r>
    </w:p>
    <w:p w14:paraId="3620F2F9">
      <w:pPr>
        <w:snapToGrid w:val="0"/>
        <w:spacing w:line="360" w:lineRule="auto"/>
        <w:rPr>
          <w:rFonts w:hint="eastAsia" w:ascii="宋体" w:hAnsi="宋体" w:eastAsia="宋体" w:cs="宋体"/>
          <w:color w:val="FF0000"/>
          <w:sz w:val="24"/>
        </w:rPr>
      </w:pPr>
      <w:r>
        <w:rPr>
          <w:rFonts w:hint="eastAsia" w:ascii="宋体" w:hAnsi="宋体" w:cs="宋体"/>
          <w:color w:val="FF0000"/>
          <w:sz w:val="24"/>
          <w:lang w:eastAsia="zh-CN"/>
        </w:rPr>
        <w:t>桐庐县青少年宫</w:t>
      </w:r>
      <w:r>
        <w:rPr>
          <w:rFonts w:hint="eastAsia" w:ascii="宋体" w:hAnsi="宋体" w:eastAsia="宋体" w:cs="宋体"/>
          <w:color w:val="FF0000"/>
          <w:sz w:val="24"/>
          <w:lang w:eastAsia="zh-CN"/>
        </w:rPr>
        <w:t>、杭州全咨项目管理有限公司</w:t>
      </w:r>
      <w:r>
        <w:rPr>
          <w:rFonts w:hint="eastAsia" w:ascii="宋体" w:hAnsi="宋体" w:eastAsia="宋体" w:cs="宋体"/>
          <w:color w:val="FF0000"/>
          <w:sz w:val="24"/>
        </w:rPr>
        <w:t>：</w:t>
      </w:r>
    </w:p>
    <w:p w14:paraId="0302768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5388A4A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1DFD0118">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3EAAD3AF">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40628474">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79A2ECA1">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3372D02D">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75E95CE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52C37DA7">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3B721372">
      <w:pPr>
        <w:autoSpaceDE w:val="0"/>
        <w:autoSpaceDN w:val="0"/>
        <w:spacing w:line="360" w:lineRule="auto"/>
        <w:ind w:left="2"/>
        <w:jc w:val="left"/>
        <w:rPr>
          <w:rFonts w:hint="eastAsia" w:ascii="宋体" w:hAnsi="宋体" w:eastAsia="宋体" w:cs="宋体"/>
          <w:kern w:val="0"/>
          <w:sz w:val="24"/>
          <w:lang w:val="zh-CN"/>
        </w:rPr>
      </w:pPr>
    </w:p>
    <w:p w14:paraId="7D3D02E5">
      <w:pPr>
        <w:autoSpaceDE w:val="0"/>
        <w:autoSpaceDN w:val="0"/>
        <w:spacing w:line="360" w:lineRule="auto"/>
        <w:jc w:val="left"/>
        <w:rPr>
          <w:rFonts w:hint="eastAsia" w:ascii="宋体" w:hAnsi="宋体" w:eastAsia="宋体" w:cs="宋体"/>
          <w:kern w:val="0"/>
          <w:sz w:val="24"/>
          <w:lang w:val="zh-CN"/>
        </w:rPr>
      </w:pPr>
    </w:p>
    <w:p w14:paraId="36E68A1A">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w:t>
      </w:r>
    </w:p>
    <w:p w14:paraId="32BD0085">
      <w:pPr>
        <w:snapToGrid w:val="0"/>
        <w:spacing w:line="360" w:lineRule="auto"/>
        <w:ind w:left="5986" w:leftChars="2622" w:hanging="480" w:hangingChars="200"/>
        <w:rPr>
          <w:rFonts w:hint="eastAsia" w:ascii="宋体" w:hAnsi="宋体" w:eastAsia="宋体" w:cs="宋体"/>
          <w:kern w:val="0"/>
          <w:sz w:val="24"/>
        </w:rPr>
      </w:pPr>
      <w:r>
        <w:rPr>
          <w:rFonts w:hint="eastAsia" w:ascii="宋体" w:hAnsi="宋体" w:eastAsia="宋体" w:cs="宋体"/>
          <w:sz w:val="24"/>
        </w:rPr>
        <w:t xml:space="preserve">           </w:t>
      </w:r>
      <w:r>
        <w:rPr>
          <w:rFonts w:hint="eastAsia" w:ascii="宋体" w:hAnsi="宋体" w:eastAsia="宋体" w:cs="宋体"/>
          <w:kern w:val="0"/>
          <w:sz w:val="24"/>
        </w:rPr>
        <w:t xml:space="preserve">  </w:t>
      </w:r>
      <w:r>
        <w:rPr>
          <w:rFonts w:hint="eastAsia" w:ascii="宋体" w:hAnsi="宋体" w:cs="宋体"/>
          <w:kern w:val="0"/>
          <w:sz w:val="24"/>
          <w:lang w:val="en-US" w:eastAsia="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en-US" w:eastAsia="zh-CN"/>
        </w:rPr>
        <w:t xml:space="preserve">         </w:t>
      </w:r>
      <w:r>
        <w:rPr>
          <w:rFonts w:hint="eastAsia" w:ascii="宋体" w:hAnsi="宋体" w:cs="宋体"/>
          <w:kern w:val="0"/>
          <w:sz w:val="24"/>
          <w:lang w:val="zh-CN"/>
        </w:rPr>
        <w:t>投标单位</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cs="宋体"/>
          <w:kern w:val="0"/>
          <w:sz w:val="24"/>
          <w:lang w:val="en-US" w:eastAsia="zh-CN"/>
        </w:rPr>
        <w:t>盖章</w:t>
      </w:r>
      <w:r>
        <w:rPr>
          <w:rFonts w:hint="eastAsia" w:ascii="宋体" w:hAnsi="宋体" w:cs="宋体"/>
          <w:kern w:val="0"/>
          <w:sz w:val="24"/>
          <w:lang w:val="zh-CN"/>
        </w:rPr>
        <w:t>）</w:t>
      </w:r>
      <w:r>
        <w:rPr>
          <w:rFonts w:hint="eastAsia" w:ascii="宋体" w:hAnsi="宋体" w:eastAsia="宋体" w:cs="宋体"/>
          <w:kern w:val="0"/>
          <w:sz w:val="24"/>
          <w:lang w:val="zh-CN"/>
        </w:rPr>
        <w:t>：</w:t>
      </w:r>
    </w:p>
    <w:p w14:paraId="13BE38AD">
      <w:pPr>
        <w:pStyle w:val="28"/>
        <w:rPr>
          <w:rFonts w:hint="eastAsia" w:ascii="宋体" w:hAnsi="宋体" w:eastAsia="宋体" w:cs="宋体"/>
          <w:b/>
          <w:kern w:val="0"/>
          <w:sz w:val="32"/>
          <w:szCs w:val="32"/>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w:t>
      </w:r>
    </w:p>
    <w:p w14:paraId="39AA6E01">
      <w:pPr>
        <w:pStyle w:val="29"/>
        <w:rPr>
          <w:rFonts w:hint="eastAsia" w:ascii="宋体" w:hAnsi="宋体" w:eastAsia="宋体" w:cs="宋体"/>
          <w:b/>
          <w:kern w:val="0"/>
          <w:sz w:val="32"/>
          <w:szCs w:val="32"/>
        </w:rPr>
      </w:pPr>
    </w:p>
    <w:p w14:paraId="210B44F8">
      <w:pPr>
        <w:rPr>
          <w:rFonts w:hint="eastAsia" w:ascii="宋体" w:hAnsi="宋体" w:eastAsia="宋体" w:cs="宋体"/>
          <w:b/>
          <w:kern w:val="0"/>
          <w:sz w:val="32"/>
          <w:szCs w:val="32"/>
        </w:rPr>
      </w:pPr>
    </w:p>
    <w:p w14:paraId="66DCB160">
      <w:pPr>
        <w:pStyle w:val="27"/>
        <w:rPr>
          <w:rFonts w:hint="eastAsia" w:ascii="宋体" w:hAnsi="宋体" w:eastAsia="宋体" w:cs="宋体"/>
          <w:b/>
          <w:kern w:val="0"/>
          <w:sz w:val="32"/>
          <w:szCs w:val="32"/>
        </w:rPr>
      </w:pPr>
    </w:p>
    <w:p w14:paraId="4951AEBD">
      <w:pPr>
        <w:pStyle w:val="28"/>
        <w:rPr>
          <w:rFonts w:hint="eastAsia" w:ascii="宋体" w:hAnsi="宋体" w:eastAsia="宋体" w:cs="宋体"/>
          <w:b/>
          <w:kern w:val="0"/>
          <w:sz w:val="32"/>
          <w:szCs w:val="32"/>
        </w:rPr>
      </w:pPr>
    </w:p>
    <w:p w14:paraId="525CDB28">
      <w:pPr>
        <w:pStyle w:val="29"/>
        <w:rPr>
          <w:rFonts w:hint="eastAsia" w:ascii="宋体" w:hAnsi="宋体" w:eastAsia="宋体" w:cs="宋体"/>
          <w:b/>
          <w:kern w:val="0"/>
          <w:sz w:val="32"/>
          <w:szCs w:val="32"/>
        </w:rPr>
      </w:pPr>
    </w:p>
    <w:p w14:paraId="08B6811C">
      <w:pPr>
        <w:rPr>
          <w:rFonts w:hint="eastAsia"/>
        </w:rPr>
      </w:pPr>
    </w:p>
    <w:p w14:paraId="41D02F5B">
      <w:pPr>
        <w:pStyle w:val="83"/>
        <w:rPr>
          <w:rFonts w:hint="eastAsia" w:ascii="宋体" w:hAnsi="宋体" w:eastAsia="宋体" w:cs="宋体"/>
        </w:rPr>
      </w:pPr>
    </w:p>
    <w:p w14:paraId="29298683">
      <w:pPr>
        <w:pStyle w:val="28"/>
        <w:ind w:left="0" w:leftChars="0" w:firstLine="0" w:firstLineChars="0"/>
        <w:rPr>
          <w:rFonts w:hint="eastAsia" w:ascii="宋体" w:hAnsi="宋体" w:eastAsia="宋体" w:cs="宋体"/>
        </w:rPr>
      </w:pPr>
    </w:p>
    <w:p w14:paraId="453F9990">
      <w:pPr>
        <w:snapToGrid w:val="0"/>
        <w:spacing w:line="360" w:lineRule="auto"/>
        <w:jc w:val="center"/>
        <w:outlineLvl w:val="0"/>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三、</w:t>
      </w:r>
      <w:r>
        <w:rPr>
          <w:rFonts w:hint="eastAsia" w:ascii="宋体" w:hAnsi="宋体" w:eastAsia="宋体" w:cs="宋体"/>
          <w:b/>
          <w:kern w:val="0"/>
          <w:sz w:val="32"/>
          <w:szCs w:val="32"/>
        </w:rPr>
        <w:t>落实采购政策需满足的资格要求</w:t>
      </w:r>
    </w:p>
    <w:p w14:paraId="65BA26A6">
      <w:pPr>
        <w:spacing w:line="360" w:lineRule="auto"/>
        <w:ind w:firstLine="360" w:firstLineChars="150"/>
        <w:jc w:val="left"/>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 号）的规定，本公司（联合体）参加</w:t>
      </w:r>
      <w:r>
        <w:rPr>
          <w:rFonts w:hint="eastAsia" w:ascii="宋体" w:hAnsi="宋体" w:cs="宋体"/>
          <w:sz w:val="24"/>
          <w:highlight w:val="none"/>
          <w:u w:val="single"/>
          <w:lang w:val="zh-CN" w:eastAsia="zh-CN"/>
        </w:rPr>
        <w:t>2024年桐庐县青少年宫消防维保单位采购项目</w:t>
      </w:r>
      <w:r>
        <w:rPr>
          <w:rFonts w:hint="eastAsia" w:ascii="宋体" w:hAnsi="宋体" w:eastAsia="宋体" w:cs="宋体"/>
          <w:sz w:val="24"/>
          <w:highlight w:val="none"/>
        </w:rPr>
        <w:t>采购活动，</w:t>
      </w:r>
      <w:r>
        <w:rPr>
          <w:rFonts w:hint="eastAsia" w:ascii="宋体" w:hAnsi="宋体" w:cs="宋体"/>
          <w:sz w:val="24"/>
          <w:highlight w:val="none"/>
          <w:lang w:val="en-US" w:eastAsia="zh-CN"/>
        </w:rPr>
        <w:t>服务</w:t>
      </w:r>
      <w:r>
        <w:rPr>
          <w:rFonts w:hint="eastAsia" w:ascii="宋体" w:hAnsi="宋体" w:eastAsia="宋体" w:cs="宋体"/>
          <w:sz w:val="24"/>
          <w:highlight w:val="none"/>
        </w:rPr>
        <w:t>单位全部为符合政策要求的中小企业（或者：服务全部由符合政策要求的中小企业承接）。相关企业（含联合体中的中小企业、签订分包意向协议的中小企业）的具体情况如下：</w:t>
      </w:r>
    </w:p>
    <w:p w14:paraId="1BF8145D">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lang w:val="zh-CN" w:eastAsia="zh-CN"/>
        </w:rPr>
        <w:t>2024年桐庐县青少年宫消防维保单位采购项目</w:t>
      </w:r>
      <w:r>
        <w:rPr>
          <w:rFonts w:hint="eastAsia" w:ascii="宋体" w:hAnsi="宋体" w:eastAsia="宋体" w:cs="宋体"/>
          <w:sz w:val="24"/>
          <w:highlight w:val="none"/>
        </w:rPr>
        <w:t>，属于</w:t>
      </w:r>
      <w:r>
        <w:rPr>
          <w:rFonts w:hint="eastAsia" w:ascii="宋体" w:hAnsi="宋体" w:cs="宋体"/>
          <w:sz w:val="24"/>
          <w:highlight w:val="none"/>
          <w:u w:val="single"/>
          <w:lang w:val="en-US" w:eastAsia="zh-CN"/>
        </w:rPr>
        <w:t>其他未列明</w:t>
      </w:r>
      <w:r>
        <w:rPr>
          <w:rFonts w:hint="eastAsia" w:ascii="宋体" w:hAnsi="宋体" w:cs="宋体"/>
          <w:sz w:val="24"/>
          <w:highlight w:val="none"/>
          <w:u w:val="single"/>
          <w:lang w:eastAsia="zh-CN"/>
        </w:rPr>
        <w:t>行业</w:t>
      </w:r>
      <w:r>
        <w:rPr>
          <w:rFonts w:hint="eastAsia" w:ascii="宋体" w:hAnsi="宋体" w:eastAsia="宋体" w:cs="宋体"/>
          <w:sz w:val="24"/>
          <w:highlight w:val="none"/>
        </w:rPr>
        <w:t xml:space="preserve"> ；承建（承接）企业为 </w:t>
      </w:r>
      <w:r>
        <w:rPr>
          <w:rFonts w:hint="eastAsia" w:ascii="宋体" w:hAnsi="宋体" w:eastAsia="宋体" w:cs="宋体"/>
          <w:sz w:val="24"/>
          <w:highlight w:val="none"/>
          <w:u w:val="single"/>
        </w:rPr>
        <w:t>（企业名称）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 </w:t>
      </w:r>
      <w:r>
        <w:rPr>
          <w:rFonts w:hint="eastAsia" w:ascii="宋体" w:hAnsi="宋体" w:eastAsia="宋体" w:cs="宋体"/>
          <w:sz w:val="24"/>
          <w:highlight w:val="none"/>
        </w:rPr>
        <w:t>；</w:t>
      </w:r>
    </w:p>
    <w:p w14:paraId="5EC88DAF">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w:t>
      </w:r>
    </w:p>
    <w:p w14:paraId="0954690D">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2DD5773D">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18B8B86B">
      <w:pPr>
        <w:pStyle w:val="4"/>
        <w:rPr>
          <w:rFonts w:hint="eastAsia"/>
        </w:rPr>
      </w:pPr>
    </w:p>
    <w:p w14:paraId="7E5F9ED5">
      <w:pPr>
        <w:spacing w:line="360" w:lineRule="auto"/>
        <w:ind w:left="5269" w:leftChars="2166" w:right="1120" w:hanging="720" w:hangingChars="300"/>
        <w:rPr>
          <w:rFonts w:hint="eastAsia" w:ascii="宋体" w:hAnsi="宋体" w:eastAsia="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kern w:val="0"/>
          <w:sz w:val="24"/>
          <w:lang w:val="zh-CN"/>
        </w:rPr>
        <w:t>投标单位</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cs="宋体"/>
          <w:kern w:val="0"/>
          <w:sz w:val="24"/>
          <w:lang w:val="en-US" w:eastAsia="zh-CN"/>
        </w:rPr>
        <w:t>盖章</w:t>
      </w:r>
      <w:r>
        <w:rPr>
          <w:rFonts w:hint="eastAsia" w:ascii="宋体" w:hAnsi="宋体" w:cs="宋体"/>
          <w:kern w:val="0"/>
          <w:sz w:val="24"/>
          <w:lang w:val="zh-CN"/>
        </w:rPr>
        <w:t>）</w:t>
      </w: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w:t>
      </w:r>
    </w:p>
    <w:p w14:paraId="222EDC14">
      <w:pPr>
        <w:keepNext w:val="0"/>
        <w:keepLines w:val="0"/>
        <w:pageBreakBefore w:val="0"/>
        <w:widowControl w:val="0"/>
        <w:kinsoku/>
        <w:wordWrap/>
        <w:overflowPunct/>
        <w:topLinePunct w:val="0"/>
        <w:autoSpaceDE/>
        <w:autoSpaceDN/>
        <w:bidi w:val="0"/>
        <w:adjustRightInd w:val="0"/>
        <w:snapToGrid/>
        <w:spacing w:before="469" w:beforeLines="150" w:line="360" w:lineRule="auto"/>
        <w:ind w:firstLine="310" w:firstLineChars="147"/>
        <w:jc w:val="left"/>
        <w:textAlignment w:val="auto"/>
        <w:rPr>
          <w:rFonts w:hint="eastAsia" w:ascii="宋体" w:hAnsi="宋体" w:eastAsia="宋体" w:cs="宋体"/>
          <w:b/>
          <w:szCs w:val="21"/>
          <w:highlight w:val="none"/>
        </w:rPr>
      </w:pPr>
      <w:r>
        <w:rPr>
          <w:rFonts w:hint="eastAsia" w:ascii="宋体" w:hAnsi="宋体" w:eastAsia="宋体" w:cs="宋体"/>
          <w:b/>
          <w:szCs w:val="21"/>
          <w:highlight w:val="none"/>
        </w:rPr>
        <w:t>从业人员、营业收入、资产总额填报上一年度数据，无上一年度数据的新成立企业可不填报。</w:t>
      </w:r>
    </w:p>
    <w:p w14:paraId="4D7E2740">
      <w:pPr>
        <w:spacing w:line="360" w:lineRule="auto"/>
        <w:ind w:right="420"/>
        <w:rPr>
          <w:rFonts w:hint="eastAsia" w:ascii="宋体" w:hAnsi="宋体" w:eastAsia="宋体" w:cs="宋体"/>
          <w:sz w:val="24"/>
          <w:highlight w:val="none"/>
        </w:rPr>
      </w:pPr>
    </w:p>
    <w:p w14:paraId="62C2ED8D">
      <w:pPr>
        <w:spacing w:line="360" w:lineRule="auto"/>
        <w:rPr>
          <w:rFonts w:hint="eastAsia" w:ascii="宋体" w:hAnsi="宋体" w:eastAsia="宋体" w:cs="宋体"/>
          <w:highlight w:val="none"/>
        </w:rPr>
      </w:pPr>
      <w:r>
        <w:rPr>
          <w:rFonts w:hint="eastAsia" w:ascii="宋体" w:hAnsi="宋体" w:eastAsia="宋体" w:cs="宋体"/>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620E5732">
      <w:pPr>
        <w:snapToGrid w:val="0"/>
        <w:spacing w:line="360" w:lineRule="auto"/>
        <w:jc w:val="center"/>
        <w:outlineLvl w:val="0"/>
        <w:rPr>
          <w:rFonts w:hint="eastAsia" w:ascii="宋体" w:hAnsi="宋体" w:eastAsia="宋体" w:cs="宋体"/>
          <w:b/>
          <w:kern w:val="0"/>
          <w:sz w:val="32"/>
          <w:szCs w:val="32"/>
          <w:lang w:val="en-US" w:eastAsia="zh-CN"/>
        </w:rPr>
      </w:pPr>
    </w:p>
    <w:p w14:paraId="305B2965">
      <w:pPr>
        <w:snapToGrid w:val="0"/>
        <w:spacing w:line="360" w:lineRule="auto"/>
        <w:jc w:val="center"/>
        <w:outlineLvl w:val="0"/>
        <w:rPr>
          <w:rFonts w:hint="eastAsia" w:ascii="宋体" w:hAnsi="宋体" w:eastAsia="宋体" w:cs="宋体"/>
          <w:b/>
          <w:kern w:val="0"/>
          <w:sz w:val="32"/>
          <w:szCs w:val="32"/>
          <w:lang w:val="en-US" w:eastAsia="zh-CN"/>
        </w:rPr>
      </w:pPr>
    </w:p>
    <w:p w14:paraId="7A81B600">
      <w:pPr>
        <w:snapToGrid w:val="0"/>
        <w:spacing w:line="360" w:lineRule="auto"/>
        <w:jc w:val="center"/>
        <w:outlineLvl w:val="0"/>
        <w:rPr>
          <w:rFonts w:hint="eastAsia" w:ascii="宋体" w:hAnsi="宋体" w:eastAsia="宋体" w:cs="宋体"/>
          <w:b/>
          <w:kern w:val="0"/>
          <w:sz w:val="32"/>
          <w:szCs w:val="32"/>
          <w:lang w:val="en-US" w:eastAsia="zh-CN"/>
        </w:rPr>
      </w:pPr>
    </w:p>
    <w:p w14:paraId="71B945BE">
      <w:pPr>
        <w:snapToGrid w:val="0"/>
        <w:spacing w:line="360" w:lineRule="auto"/>
        <w:jc w:val="center"/>
        <w:outlineLvl w:val="0"/>
        <w:rPr>
          <w:rFonts w:hint="eastAsia" w:ascii="宋体" w:hAnsi="宋体" w:eastAsia="宋体" w:cs="宋体"/>
          <w:b/>
          <w:kern w:val="0"/>
          <w:sz w:val="32"/>
          <w:szCs w:val="32"/>
          <w:lang w:val="en-US" w:eastAsia="zh-CN"/>
        </w:rPr>
      </w:pPr>
    </w:p>
    <w:p w14:paraId="6DA7A74B">
      <w:pPr>
        <w:pStyle w:val="27"/>
        <w:rPr>
          <w:rFonts w:hint="eastAsia" w:ascii="宋体" w:hAnsi="宋体" w:eastAsia="宋体" w:cs="宋体"/>
          <w:b/>
          <w:kern w:val="0"/>
          <w:sz w:val="32"/>
          <w:szCs w:val="32"/>
          <w:lang w:val="en-US" w:eastAsia="zh-CN"/>
        </w:rPr>
      </w:pPr>
    </w:p>
    <w:p w14:paraId="04E608B3">
      <w:pPr>
        <w:snapToGrid w:val="0"/>
        <w:spacing w:line="360" w:lineRule="auto"/>
        <w:jc w:val="center"/>
        <w:outlineLvl w:val="0"/>
        <w:rPr>
          <w:rFonts w:hint="eastAsia" w:ascii="宋体" w:hAnsi="宋体" w:eastAsia="宋体" w:cs="宋体"/>
          <w:b/>
          <w:sz w:val="32"/>
          <w:szCs w:val="32"/>
        </w:rPr>
      </w:pPr>
      <w:r>
        <w:rPr>
          <w:rFonts w:hint="eastAsia" w:ascii="宋体" w:hAnsi="宋体" w:cs="宋体"/>
          <w:b/>
          <w:kern w:val="0"/>
          <w:sz w:val="32"/>
          <w:szCs w:val="32"/>
          <w:lang w:val="en-US" w:eastAsia="zh-CN"/>
        </w:rPr>
        <w:t>四</w:t>
      </w:r>
      <w:r>
        <w:rPr>
          <w:rFonts w:hint="eastAsia" w:ascii="宋体" w:hAnsi="宋体" w:eastAsia="宋体" w:cs="宋体"/>
          <w:b/>
          <w:kern w:val="0"/>
          <w:sz w:val="32"/>
          <w:szCs w:val="32"/>
        </w:rPr>
        <w:t>、投标</w:t>
      </w:r>
      <w:r>
        <w:rPr>
          <w:rFonts w:hint="eastAsia" w:ascii="宋体" w:hAnsi="宋体" w:eastAsia="宋体" w:cs="宋体"/>
          <w:b/>
          <w:sz w:val="32"/>
          <w:szCs w:val="32"/>
        </w:rPr>
        <w:t>函</w:t>
      </w:r>
    </w:p>
    <w:p w14:paraId="0496F3F1">
      <w:pPr>
        <w:snapToGrid w:val="0"/>
        <w:spacing w:line="360" w:lineRule="auto"/>
        <w:rPr>
          <w:rFonts w:hint="eastAsia" w:ascii="宋体" w:hAnsi="宋体" w:eastAsia="宋体" w:cs="宋体"/>
          <w:color w:val="FF0000"/>
          <w:sz w:val="24"/>
        </w:rPr>
      </w:pPr>
      <w:r>
        <w:rPr>
          <w:rFonts w:hint="eastAsia" w:ascii="宋体" w:hAnsi="宋体" w:cs="宋体"/>
          <w:color w:val="FF0000"/>
          <w:sz w:val="24"/>
          <w:lang w:eastAsia="zh-CN"/>
        </w:rPr>
        <w:t>桐庐县青少年宫</w:t>
      </w:r>
      <w:r>
        <w:rPr>
          <w:rFonts w:hint="eastAsia" w:ascii="宋体" w:hAnsi="宋体" w:eastAsia="宋体" w:cs="宋体"/>
          <w:color w:val="FF0000"/>
          <w:sz w:val="24"/>
          <w:lang w:eastAsia="zh-CN"/>
        </w:rPr>
        <w:t>、杭州全咨项目管理有限公司</w:t>
      </w:r>
      <w:r>
        <w:rPr>
          <w:rFonts w:hint="eastAsia" w:ascii="宋体" w:hAnsi="宋体" w:eastAsia="宋体" w:cs="宋体"/>
          <w:color w:val="FF0000"/>
          <w:sz w:val="24"/>
        </w:rPr>
        <w:t>：</w:t>
      </w:r>
    </w:p>
    <w:p w14:paraId="56FA2A35">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w:t>
      </w:r>
      <w:r>
        <w:rPr>
          <w:rFonts w:hint="eastAsia" w:ascii="宋体" w:hAnsi="宋体" w:cs="宋体"/>
          <w:color w:val="FF0000"/>
          <w:sz w:val="24"/>
          <w:lang w:eastAsia="zh-CN"/>
        </w:rPr>
        <w:t>2024年桐庐县青少年宫消防维保单位采购项目</w:t>
      </w:r>
      <w:r>
        <w:rPr>
          <w:rFonts w:hint="eastAsia" w:ascii="宋体" w:hAnsi="宋体" w:eastAsia="宋体" w:cs="宋体"/>
          <w:sz w:val="24"/>
        </w:rPr>
        <w:t>【招标编号：</w:t>
      </w:r>
      <w:r>
        <w:rPr>
          <w:rFonts w:hint="eastAsia" w:ascii="宋体" w:hAnsi="宋体" w:cs="宋体"/>
          <w:color w:val="FF0000"/>
          <w:sz w:val="24"/>
          <w:lang w:eastAsia="zh-CN"/>
        </w:rPr>
        <w:t>QZ23301222024025</w:t>
      </w:r>
      <w:r>
        <w:rPr>
          <w:rFonts w:hint="eastAsia" w:ascii="宋体" w:hAnsi="宋体" w:eastAsia="宋体" w:cs="宋体"/>
          <w:sz w:val="24"/>
        </w:rPr>
        <w:t>】招标的有关活动，并对此项目进行投标。为此：</w:t>
      </w:r>
    </w:p>
    <w:p w14:paraId="2394831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09EED5C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74FFFE60">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w:t>
      </w:r>
      <w:r>
        <w:rPr>
          <w:rFonts w:hint="eastAsia" w:ascii="宋体" w:hAnsi="宋体" w:eastAsia="宋体" w:cs="宋体"/>
          <w:b/>
          <w:bCs/>
          <w:sz w:val="24"/>
        </w:rPr>
        <w:t>资格文件：</w:t>
      </w:r>
    </w:p>
    <w:p w14:paraId="1BBCF52B">
      <w:pPr>
        <w:numPr>
          <w:ilvl w:val="0"/>
          <w:numId w:val="0"/>
        </w:numPr>
        <w:snapToGrid w:val="0"/>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2.1.1符合参加采购活动应当具备的一般条件的承诺函</w:t>
      </w:r>
    </w:p>
    <w:p w14:paraId="090EC994">
      <w:pPr>
        <w:numPr>
          <w:ilvl w:val="0"/>
          <w:numId w:val="0"/>
        </w:numPr>
        <w:snapToGrid w:val="0"/>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2.1.</w:t>
      </w:r>
      <w:r>
        <w:rPr>
          <w:rFonts w:hint="eastAsia" w:ascii="宋体" w:hAnsi="宋体" w:cs="宋体"/>
          <w:sz w:val="24"/>
          <w:lang w:val="en-US" w:eastAsia="zh-CN"/>
        </w:rPr>
        <w:t>2</w:t>
      </w:r>
      <w:r>
        <w:rPr>
          <w:rFonts w:hint="eastAsia" w:ascii="宋体" w:hAnsi="宋体" w:eastAsia="宋体" w:cs="宋体"/>
          <w:sz w:val="24"/>
          <w:lang w:val="zh-CN"/>
        </w:rPr>
        <w:t>采购供应商廉洁自律承诺书</w:t>
      </w:r>
    </w:p>
    <w:p w14:paraId="001BC9B3">
      <w:pPr>
        <w:numPr>
          <w:ilvl w:val="0"/>
          <w:numId w:val="0"/>
        </w:numPr>
        <w:snapToGrid w:val="0"/>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2.1.</w:t>
      </w:r>
      <w:r>
        <w:rPr>
          <w:rFonts w:hint="eastAsia" w:ascii="宋体" w:hAnsi="宋体" w:cs="宋体"/>
          <w:sz w:val="24"/>
          <w:lang w:val="en-US" w:eastAsia="zh-CN"/>
        </w:rPr>
        <w:t>3</w:t>
      </w:r>
      <w:r>
        <w:rPr>
          <w:rFonts w:hint="eastAsia" w:ascii="宋体" w:hAnsi="宋体" w:eastAsia="宋体" w:cs="宋体"/>
          <w:sz w:val="24"/>
        </w:rPr>
        <w:t>落实采购政策需满足的资格要求</w:t>
      </w:r>
    </w:p>
    <w:p w14:paraId="3AFB4C9F">
      <w:pPr>
        <w:numPr>
          <w:ilvl w:val="0"/>
          <w:numId w:val="0"/>
        </w:numPr>
        <w:snapToGrid w:val="0"/>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2.1.</w:t>
      </w:r>
      <w:r>
        <w:rPr>
          <w:rFonts w:hint="eastAsia" w:ascii="宋体" w:hAnsi="宋体" w:cs="宋体"/>
          <w:sz w:val="24"/>
          <w:lang w:val="en-US" w:eastAsia="zh-CN"/>
        </w:rPr>
        <w:t>4</w:t>
      </w:r>
      <w:r>
        <w:rPr>
          <w:rFonts w:hint="eastAsia" w:ascii="宋体" w:hAnsi="宋体" w:eastAsia="宋体" w:cs="宋体"/>
          <w:sz w:val="24"/>
          <w:lang w:eastAsia="zh-CN"/>
        </w:rPr>
        <w:t>投标函</w:t>
      </w:r>
    </w:p>
    <w:p w14:paraId="0A2C8A3B">
      <w:pPr>
        <w:numPr>
          <w:ilvl w:val="0"/>
          <w:numId w:val="0"/>
        </w:numPr>
        <w:snapToGrid w:val="0"/>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2.1.</w:t>
      </w:r>
      <w:r>
        <w:rPr>
          <w:rFonts w:hint="eastAsia" w:ascii="宋体" w:hAnsi="宋体" w:cs="宋体"/>
          <w:sz w:val="24"/>
          <w:lang w:val="en-US" w:eastAsia="zh-CN"/>
        </w:rPr>
        <w:t>5</w:t>
      </w:r>
      <w:r>
        <w:rPr>
          <w:rFonts w:hint="eastAsia" w:ascii="宋体" w:hAnsi="宋体" w:eastAsia="宋体" w:cs="宋体"/>
          <w:sz w:val="24"/>
        </w:rPr>
        <w:t>授权委托书或法定代表人（单位负责人）身份证明</w:t>
      </w:r>
    </w:p>
    <w:p w14:paraId="4D671BFD">
      <w:pPr>
        <w:numPr>
          <w:ilvl w:val="0"/>
          <w:numId w:val="0"/>
        </w:numPr>
        <w:snapToGrid w:val="0"/>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2.1.</w:t>
      </w:r>
      <w:r>
        <w:rPr>
          <w:rFonts w:hint="eastAsia" w:ascii="宋体" w:hAnsi="宋体" w:cs="宋体"/>
          <w:sz w:val="24"/>
          <w:lang w:val="en-US" w:eastAsia="zh-CN"/>
        </w:rPr>
        <w:t>6</w:t>
      </w:r>
      <w:r>
        <w:rPr>
          <w:rFonts w:hint="eastAsia" w:ascii="宋体" w:hAnsi="宋体" w:eastAsia="宋体" w:cs="宋体"/>
          <w:sz w:val="24"/>
          <w:lang w:val="en-US" w:eastAsia="zh-CN"/>
        </w:rPr>
        <w:t>企业营业执照</w:t>
      </w:r>
    </w:p>
    <w:p w14:paraId="3F33E2F3">
      <w:pPr>
        <w:numPr>
          <w:ilvl w:val="0"/>
          <w:numId w:val="0"/>
        </w:numPr>
        <w:snapToGrid w:val="0"/>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2.1.</w:t>
      </w:r>
      <w:r>
        <w:rPr>
          <w:rFonts w:hint="eastAsia" w:ascii="宋体" w:hAnsi="宋体" w:cs="宋体"/>
          <w:sz w:val="24"/>
          <w:lang w:val="en-US" w:eastAsia="zh-CN"/>
        </w:rPr>
        <w:t>7</w:t>
      </w:r>
      <w:r>
        <w:rPr>
          <w:rFonts w:hint="eastAsia" w:ascii="宋体" w:hAnsi="宋体" w:eastAsia="宋体" w:cs="宋体"/>
          <w:sz w:val="24"/>
          <w:lang w:val="zh-CN"/>
        </w:rPr>
        <w:t>本项目的特定资格要求</w:t>
      </w:r>
      <w:r>
        <w:rPr>
          <w:rFonts w:hint="eastAsia" w:ascii="宋体" w:hAnsi="宋体" w:eastAsia="宋体" w:cs="宋体"/>
          <w:sz w:val="24"/>
        </w:rPr>
        <w:t>（</w:t>
      </w:r>
      <w:r>
        <w:rPr>
          <w:rFonts w:hint="eastAsia" w:ascii="宋体" w:hAnsi="宋体" w:eastAsia="宋体" w:cs="宋体"/>
          <w:sz w:val="24"/>
          <w:lang w:val="en-US" w:eastAsia="zh-CN"/>
        </w:rPr>
        <w:t>如有</w:t>
      </w:r>
      <w:r>
        <w:rPr>
          <w:rFonts w:hint="eastAsia" w:ascii="宋体" w:hAnsi="宋体" w:eastAsia="宋体" w:cs="宋体"/>
          <w:sz w:val="24"/>
        </w:rPr>
        <w:t>）</w:t>
      </w:r>
    </w:p>
    <w:p w14:paraId="7761E1D5">
      <w:pPr>
        <w:snapToGrid w:val="0"/>
        <w:spacing w:line="360" w:lineRule="auto"/>
        <w:ind w:left="210" w:leftChars="100" w:firstLine="480" w:firstLineChars="200"/>
        <w:rPr>
          <w:rFonts w:hint="eastAsia" w:ascii="宋体" w:hAnsi="宋体" w:eastAsia="宋体" w:cs="宋体"/>
          <w:b/>
          <w:bCs/>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lang w:val="en-US" w:eastAsia="zh-CN"/>
        </w:rPr>
        <w:t>2</w:t>
      </w:r>
      <w:r>
        <w:rPr>
          <w:rFonts w:hint="eastAsia" w:ascii="宋体" w:hAnsi="宋体" w:eastAsia="宋体" w:cs="宋体"/>
          <w:b/>
          <w:bCs/>
          <w:sz w:val="24"/>
        </w:rPr>
        <w:t>报价文件</w:t>
      </w:r>
    </w:p>
    <w:p w14:paraId="5B5D2D35">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cs="宋体"/>
          <w:sz w:val="24"/>
          <w:lang w:val="en-US" w:eastAsia="zh-CN"/>
        </w:rPr>
        <w:t>2</w:t>
      </w:r>
      <w:r>
        <w:rPr>
          <w:rFonts w:hint="eastAsia" w:ascii="宋体" w:hAnsi="宋体" w:eastAsia="宋体" w:cs="宋体"/>
          <w:sz w:val="24"/>
        </w:rPr>
        <w:t>.1开标一览表（报价表）；</w:t>
      </w:r>
    </w:p>
    <w:p w14:paraId="0C82A14F">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w:t>
      </w:r>
      <w:r>
        <w:rPr>
          <w:rFonts w:hint="eastAsia" w:ascii="宋体" w:hAnsi="宋体" w:eastAsia="宋体" w:cs="宋体"/>
          <w:sz w:val="24"/>
          <w:lang w:val="en-US" w:eastAsia="zh-CN"/>
        </w:rPr>
        <w:t>2报价说明</w:t>
      </w:r>
      <w:r>
        <w:rPr>
          <w:rFonts w:hint="eastAsia" w:ascii="宋体" w:hAnsi="宋体" w:eastAsia="宋体" w:cs="宋体"/>
          <w:sz w:val="24"/>
        </w:rPr>
        <w:t>（</w:t>
      </w:r>
      <w:r>
        <w:rPr>
          <w:rFonts w:hint="eastAsia" w:ascii="宋体" w:hAnsi="宋体" w:eastAsia="宋体" w:cs="宋体"/>
          <w:sz w:val="24"/>
          <w:lang w:val="en-US" w:eastAsia="zh-CN"/>
        </w:rPr>
        <w:t>如有</w:t>
      </w:r>
      <w:r>
        <w:rPr>
          <w:rFonts w:hint="eastAsia" w:ascii="宋体" w:hAnsi="宋体" w:eastAsia="宋体" w:cs="宋体"/>
          <w:sz w:val="24"/>
        </w:rPr>
        <w:t>）。</w:t>
      </w:r>
    </w:p>
    <w:p w14:paraId="353474E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3、我方承诺响应招标文件的全部要求。</w:t>
      </w:r>
    </w:p>
    <w:p w14:paraId="4ECB91B8">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382C3F59">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5DE9EB7A">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28856BDD">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3</w:t>
      </w:r>
      <w:r>
        <w:rPr>
          <w:rFonts w:hint="eastAsia" w:ascii="宋体" w:hAnsi="宋体" w:eastAsia="宋体" w:cs="宋体"/>
          <w:sz w:val="24"/>
        </w:rPr>
        <w:t xml:space="preserve">在合同约定的期限内完成合同规定的全部义务。 </w:t>
      </w:r>
    </w:p>
    <w:p w14:paraId="3D1CAD4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cs="宋体"/>
          <w:sz w:val="24"/>
          <w:lang w:eastAsia="zh-CN"/>
        </w:rPr>
        <w:t>：</w:t>
      </w:r>
      <w:r>
        <w:rPr>
          <w:rFonts w:hint="eastAsia" w:ascii="宋体" w:hAnsi="宋体" w:eastAsia="宋体" w:cs="宋体"/>
          <w:sz w:val="24"/>
          <w:u w:val="single"/>
        </w:rPr>
        <w:t xml:space="preserve">                                        </w:t>
      </w:r>
      <w:r>
        <w:rPr>
          <w:rFonts w:hint="eastAsia" w:ascii="宋体" w:hAnsi="宋体" w:eastAsia="宋体" w:cs="宋体"/>
          <w:sz w:val="24"/>
        </w:rPr>
        <w:t>。</w:t>
      </w:r>
    </w:p>
    <w:p w14:paraId="78EE5EBA">
      <w:pPr>
        <w:spacing w:line="360" w:lineRule="auto"/>
        <w:ind w:firstLine="4320" w:firstLineChars="1800"/>
        <w:rPr>
          <w:rFonts w:hint="eastAsia" w:ascii="宋体" w:hAnsi="宋体" w:eastAsia="宋体" w:cs="宋体"/>
          <w:sz w:val="24"/>
        </w:rPr>
      </w:pPr>
    </w:p>
    <w:p w14:paraId="61948F99">
      <w:pPr>
        <w:spacing w:line="360" w:lineRule="auto"/>
        <w:ind w:firstLine="4320" w:firstLineChars="1800"/>
        <w:rPr>
          <w:rFonts w:hint="eastAsia" w:ascii="宋体" w:hAnsi="宋体" w:eastAsia="宋体" w:cs="宋体"/>
          <w:sz w:val="24"/>
        </w:rPr>
      </w:pPr>
      <w:r>
        <w:rPr>
          <w:rFonts w:hint="eastAsia" w:ascii="宋体" w:hAnsi="宋体" w:cs="宋体"/>
          <w:sz w:val="24"/>
          <w:lang w:eastAsia="zh-CN"/>
        </w:rPr>
        <w:t>投标单位</w:t>
      </w:r>
      <w:r>
        <w:rPr>
          <w:rFonts w:hint="eastAsia" w:ascii="宋体" w:hAnsi="宋体" w:eastAsia="宋体" w:cs="宋体"/>
          <w:sz w:val="24"/>
        </w:rPr>
        <w:t>名称</w:t>
      </w:r>
      <w:r>
        <w:rPr>
          <w:rFonts w:hint="eastAsia" w:ascii="宋体" w:hAnsi="宋体" w:cs="宋体"/>
          <w:kern w:val="0"/>
          <w:sz w:val="24"/>
          <w:lang w:val="zh-CN"/>
        </w:rPr>
        <w:t>（</w:t>
      </w:r>
      <w:r>
        <w:rPr>
          <w:rFonts w:hint="eastAsia" w:ascii="宋体" w:hAnsi="宋体" w:cs="宋体"/>
          <w:kern w:val="0"/>
          <w:sz w:val="24"/>
          <w:lang w:val="en-US" w:eastAsia="zh-CN"/>
        </w:rPr>
        <w:t>盖章</w:t>
      </w:r>
      <w:r>
        <w:rPr>
          <w:rFonts w:hint="eastAsia" w:ascii="宋体" w:hAnsi="宋体" w:cs="宋体"/>
          <w:kern w:val="0"/>
          <w:sz w:val="24"/>
          <w:lang w:val="zh-CN"/>
        </w:rPr>
        <w:t>）</w:t>
      </w:r>
      <w:r>
        <w:rPr>
          <w:rFonts w:hint="eastAsia" w:ascii="宋体" w:hAnsi="宋体" w:eastAsia="宋体" w:cs="宋体"/>
          <w:sz w:val="24"/>
        </w:rPr>
        <w:t xml:space="preserve">：                          </w:t>
      </w:r>
    </w:p>
    <w:p w14:paraId="7117E7C8">
      <w:pPr>
        <w:spacing w:line="360" w:lineRule="auto"/>
        <w:jc w:val="center"/>
        <w:rPr>
          <w:rFonts w:hint="eastAsia" w:ascii="宋体" w:hAnsi="宋体" w:eastAsia="宋体" w:cs="宋体"/>
          <w:sz w:val="24"/>
        </w:rPr>
      </w:pPr>
      <w:r>
        <w:rPr>
          <w:rFonts w:hint="eastAsia" w:ascii="宋体" w:hAnsi="宋体" w:eastAsia="宋体" w:cs="宋体"/>
          <w:sz w:val="24"/>
        </w:rPr>
        <w:t xml:space="preserve">     日期：  </w:t>
      </w:r>
    </w:p>
    <w:p w14:paraId="4E34129D">
      <w:pPr>
        <w:snapToGrid w:val="0"/>
        <w:spacing w:line="360" w:lineRule="auto"/>
        <w:ind w:left="420" w:leftChars="200" w:firstLine="4200" w:firstLineChars="1750"/>
        <w:rPr>
          <w:rFonts w:hint="eastAsia" w:ascii="宋体" w:hAnsi="宋体" w:eastAsia="宋体" w:cs="宋体"/>
          <w:kern w:val="0"/>
          <w:sz w:val="24"/>
          <w:u w:val="single"/>
          <w:lang w:val="zh-CN"/>
        </w:rPr>
      </w:pPr>
    </w:p>
    <w:p w14:paraId="3BD272FF">
      <w:pPr>
        <w:jc w:val="both"/>
        <w:rPr>
          <w:rFonts w:hint="eastAsia" w:ascii="宋体" w:hAnsi="宋体" w:eastAsia="宋体" w:cs="宋体"/>
          <w:b/>
          <w:kern w:val="0"/>
          <w:sz w:val="32"/>
          <w:szCs w:val="32"/>
          <w:lang w:val="zh-CN"/>
        </w:rPr>
      </w:pPr>
    </w:p>
    <w:p w14:paraId="3960D744">
      <w:pPr>
        <w:rPr>
          <w:rFonts w:hint="eastAsia" w:ascii="宋体" w:hAnsi="宋体" w:eastAsia="宋体" w:cs="宋体"/>
          <w:lang w:val="zh-CN"/>
        </w:rPr>
      </w:pPr>
    </w:p>
    <w:p w14:paraId="4F62EE75">
      <w:pPr>
        <w:rPr>
          <w:rFonts w:hint="eastAsia" w:ascii="宋体" w:hAnsi="宋体" w:eastAsia="宋体" w:cs="宋体"/>
          <w:lang w:val="zh-CN"/>
        </w:rPr>
      </w:pPr>
    </w:p>
    <w:p w14:paraId="31822F0C">
      <w:pPr>
        <w:jc w:val="center"/>
        <w:rPr>
          <w:rFonts w:hint="eastAsia" w:ascii="宋体" w:hAnsi="宋体" w:eastAsia="宋体" w:cs="宋体"/>
          <w:sz w:val="24"/>
        </w:rPr>
      </w:pPr>
      <w:r>
        <w:rPr>
          <w:rFonts w:hint="eastAsia" w:ascii="宋体" w:hAnsi="宋体" w:cs="宋体"/>
          <w:b/>
          <w:kern w:val="0"/>
          <w:sz w:val="32"/>
          <w:szCs w:val="32"/>
          <w:lang w:val="en-US" w:eastAsia="zh-CN"/>
        </w:rPr>
        <w:t>五</w:t>
      </w:r>
      <w:r>
        <w:rPr>
          <w:rFonts w:hint="eastAsia" w:ascii="宋体" w:hAnsi="宋体" w:eastAsia="宋体" w:cs="宋体"/>
          <w:b/>
          <w:kern w:val="0"/>
          <w:sz w:val="32"/>
          <w:szCs w:val="32"/>
          <w:lang w:val="zh-CN"/>
        </w:rPr>
        <w:t>、法定代表人身份证明</w:t>
      </w:r>
      <w:r>
        <w:rPr>
          <w:rFonts w:hint="eastAsia" w:ascii="宋体" w:hAnsi="宋体" w:cs="宋体"/>
          <w:b/>
          <w:kern w:val="0"/>
          <w:sz w:val="32"/>
          <w:szCs w:val="32"/>
          <w:highlight w:val="yellow"/>
          <w:lang w:val="en-US" w:eastAsia="zh-CN"/>
        </w:rPr>
        <w:t>或</w:t>
      </w:r>
      <w:r>
        <w:rPr>
          <w:rFonts w:hint="eastAsia" w:ascii="宋体" w:hAnsi="宋体" w:eastAsia="宋体" w:cs="宋体"/>
          <w:b/>
          <w:kern w:val="0"/>
          <w:sz w:val="32"/>
          <w:szCs w:val="32"/>
          <w:lang w:val="zh-CN"/>
        </w:rPr>
        <w:t>授权委托书</w:t>
      </w:r>
      <w:r>
        <w:rPr>
          <w:rFonts w:hint="eastAsia" w:ascii="宋体" w:hAnsi="宋体" w:eastAsia="宋体" w:cs="宋体"/>
          <w:sz w:val="24"/>
        </w:rPr>
        <w:t xml:space="preserve"> </w:t>
      </w:r>
    </w:p>
    <w:p w14:paraId="440A4B54">
      <w:pPr>
        <w:snapToGrid w:val="0"/>
        <w:spacing w:line="360" w:lineRule="auto"/>
        <w:ind w:firstLine="2505" w:firstLineChars="1193"/>
        <w:rPr>
          <w:rFonts w:hint="eastAsia" w:ascii="宋体" w:hAnsi="宋体" w:eastAsia="宋体" w:cs="宋体"/>
        </w:rPr>
      </w:pPr>
      <w:r>
        <w:rPr>
          <w:rFonts w:hint="eastAsia" w:ascii="宋体" w:hAnsi="宋体" w:eastAsia="宋体" w:cs="宋体"/>
        </w:rPr>
        <w:t xml:space="preserve">          </w:t>
      </w:r>
    </w:p>
    <w:p w14:paraId="6EF0A83F">
      <w:pPr>
        <w:jc w:val="center"/>
        <w:rPr>
          <w:rFonts w:hint="eastAsia" w:ascii="宋体" w:hAnsi="宋体" w:eastAsia="宋体" w:cs="宋体"/>
          <w:sz w:val="36"/>
          <w:szCs w:val="36"/>
        </w:rPr>
      </w:pPr>
      <w:r>
        <w:rPr>
          <w:rFonts w:hint="eastAsia" w:ascii="宋体" w:hAnsi="宋体" w:eastAsia="宋体" w:cs="宋体"/>
          <w:sz w:val="32"/>
          <w:szCs w:val="32"/>
        </w:rPr>
        <w:t>法定代表人身份证明书</w:t>
      </w:r>
    </w:p>
    <w:p w14:paraId="5DFA80D4">
      <w:pPr>
        <w:pStyle w:val="38"/>
        <w:rPr>
          <w:rFonts w:hint="eastAsia"/>
        </w:rPr>
      </w:pPr>
    </w:p>
    <w:p w14:paraId="112E5679">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单位名称</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p>
    <w:p w14:paraId="6FE43811">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单位性质</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p>
    <w:p w14:paraId="5EE57A8F">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p>
    <w:p w14:paraId="1694CEB4">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电话号码</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p>
    <w:p w14:paraId="0743C2FE">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成立时间</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sz w:val="24"/>
          <w:szCs w:val="24"/>
        </w:rPr>
        <w:t>月</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sz w:val="24"/>
          <w:szCs w:val="24"/>
        </w:rPr>
        <w:t>日</w:t>
      </w:r>
    </w:p>
    <w:p w14:paraId="0049C013">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经营期限</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p>
    <w:p w14:paraId="51678ECC">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b w:val="0"/>
          <w:bCs w:val="0"/>
          <w:sz w:val="22"/>
          <w:szCs w:val="22"/>
          <w:u w:val="single"/>
          <w:lang w:val="en-US" w:eastAsia="zh-CN"/>
        </w:rPr>
      </w:pPr>
      <w:r>
        <w:rPr>
          <w:rFonts w:hint="eastAsia" w:ascii="宋体" w:hAnsi="宋体" w:eastAsia="宋体" w:cs="宋体"/>
          <w:sz w:val="24"/>
          <w:szCs w:val="24"/>
        </w:rPr>
        <w:t>姓 名</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sz w:val="24"/>
          <w:szCs w:val="24"/>
        </w:rPr>
        <w:t>年龄</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sz w:val="24"/>
          <w:szCs w:val="24"/>
        </w:rPr>
        <w:t>职务</w:t>
      </w:r>
      <w:r>
        <w:rPr>
          <w:rFonts w:hint="eastAsia" w:ascii="宋体" w:hAnsi="宋体" w:eastAsia="宋体" w:cs="宋体"/>
          <w:sz w:val="24"/>
          <w:szCs w:val="24"/>
          <w:lang w:eastAsia="zh-CN"/>
        </w:rPr>
        <w:t>：</w:t>
      </w:r>
      <w:r>
        <w:rPr>
          <w:rFonts w:hint="eastAsia" w:ascii="宋体" w:hAnsi="宋体" w:eastAsia="宋体" w:cs="宋体"/>
          <w:b w:val="0"/>
          <w:bCs w:val="0"/>
          <w:sz w:val="22"/>
          <w:szCs w:val="22"/>
          <w:u w:val="single"/>
          <w:lang w:val="en-US" w:eastAsia="zh-CN"/>
        </w:rPr>
        <w:t xml:space="preserve">       </w:t>
      </w:r>
    </w:p>
    <w:p w14:paraId="1969BD3B">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b w:val="0"/>
          <w:bCs w:val="0"/>
          <w:sz w:val="22"/>
          <w:szCs w:val="22"/>
          <w:u w:val="single"/>
          <w:lang w:val="en-US" w:eastAsia="zh-CN"/>
        </w:rPr>
        <w:t xml:space="preserve">                </w:t>
      </w:r>
      <w:r>
        <w:rPr>
          <w:rFonts w:hint="eastAsia" w:ascii="宋体" w:hAnsi="宋体" w:eastAsia="宋体" w:cs="宋体"/>
          <w:sz w:val="24"/>
          <w:szCs w:val="24"/>
        </w:rPr>
        <w:t>的法定代表人。</w:t>
      </w:r>
    </w:p>
    <w:p w14:paraId="2BD2703D">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特此证明。</w:t>
      </w:r>
    </w:p>
    <w:p w14:paraId="01ECBC0E">
      <w:pPr>
        <w:pStyle w:val="38"/>
        <w:rPr>
          <w:rFonts w:hint="eastAsia"/>
          <w:sz w:val="20"/>
          <w:szCs w:val="20"/>
        </w:rPr>
      </w:pPr>
    </w:p>
    <w:p w14:paraId="5D1BFA42">
      <w:pPr>
        <w:keepNext w:val="0"/>
        <w:keepLines w:val="0"/>
        <w:pageBreakBefore w:val="0"/>
        <w:widowControl w:val="0"/>
        <w:kinsoku/>
        <w:wordWrap/>
        <w:overflowPunct/>
        <w:topLinePunct w:val="0"/>
        <w:autoSpaceDE/>
        <w:autoSpaceDN/>
        <w:bidi w:val="0"/>
        <w:adjustRightInd/>
        <w:snapToGrid/>
        <w:spacing w:line="43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附：法人身份证</w:t>
      </w:r>
    </w:p>
    <w:tbl>
      <w:tblPr>
        <w:tblStyle w:val="63"/>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8"/>
      </w:tblGrid>
      <w:tr w14:paraId="34000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8328" w:type="dxa"/>
          </w:tcPr>
          <w:p w14:paraId="580AC840">
            <w:pPr>
              <w:pStyle w:val="153"/>
              <w:adjustRightInd w:val="0"/>
              <w:spacing w:line="360" w:lineRule="auto"/>
              <w:rPr>
                <w:rFonts w:hint="eastAsia" w:ascii="宋体" w:hAnsi="宋体" w:eastAsia="宋体" w:cs="宋体"/>
                <w:bCs/>
                <w:sz w:val="24"/>
                <w:szCs w:val="21"/>
              </w:rPr>
            </w:pPr>
            <w:r>
              <w:rPr>
                <w:rFonts w:hint="eastAsia" w:ascii="宋体" w:hAnsi="宋体" w:eastAsia="宋体" w:cs="宋体"/>
                <w:bCs/>
                <w:sz w:val="24"/>
                <w:szCs w:val="21"/>
              </w:rPr>
              <w:t>正面：                                 反面：</w:t>
            </w:r>
          </w:p>
          <w:p w14:paraId="454D45EB">
            <w:pPr>
              <w:pStyle w:val="153"/>
              <w:adjustRightInd w:val="0"/>
              <w:spacing w:line="360" w:lineRule="auto"/>
              <w:rPr>
                <w:rFonts w:hint="eastAsia" w:ascii="宋体" w:hAnsi="宋体" w:eastAsia="宋体" w:cs="宋体"/>
                <w:bCs/>
                <w:sz w:val="22"/>
                <w:szCs w:val="20"/>
              </w:rPr>
            </w:pPr>
          </w:p>
        </w:tc>
      </w:tr>
    </w:tbl>
    <w:p w14:paraId="40EA9E6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8"/>
          <w:szCs w:val="28"/>
        </w:rPr>
      </w:pPr>
    </w:p>
    <w:p w14:paraId="468E497C">
      <w:pPr>
        <w:spacing w:line="360" w:lineRule="auto"/>
        <w:ind w:left="4549" w:leftChars="2052" w:hanging="240" w:hangingChars="100"/>
        <w:rPr>
          <w:rFonts w:hint="eastAsia" w:ascii="宋体" w:hAnsi="宋体" w:eastAsia="宋体" w:cs="宋体"/>
          <w:sz w:val="24"/>
        </w:rPr>
      </w:pPr>
      <w:r>
        <w:rPr>
          <w:rFonts w:hint="eastAsia" w:ascii="宋体" w:hAnsi="宋体" w:cs="宋体"/>
          <w:kern w:val="0"/>
          <w:sz w:val="24"/>
          <w:lang w:val="en-US" w:eastAsia="zh-CN"/>
        </w:rPr>
        <w:t xml:space="preserve"> </w:t>
      </w:r>
      <w:r>
        <w:rPr>
          <w:rFonts w:hint="eastAsia" w:ascii="宋体" w:hAnsi="宋体" w:eastAsia="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sz w:val="24"/>
          <w:lang w:eastAsia="zh-CN"/>
        </w:rPr>
        <w:t>投标单位</w:t>
      </w:r>
      <w:r>
        <w:rPr>
          <w:rFonts w:hint="eastAsia" w:ascii="宋体" w:hAnsi="宋体" w:eastAsia="宋体" w:cs="宋体"/>
          <w:sz w:val="24"/>
        </w:rPr>
        <w:t>名称</w:t>
      </w:r>
      <w:r>
        <w:rPr>
          <w:rFonts w:hint="eastAsia" w:ascii="宋体" w:hAnsi="宋体" w:cs="宋体"/>
          <w:kern w:val="0"/>
          <w:sz w:val="24"/>
          <w:lang w:val="zh-CN"/>
        </w:rPr>
        <w:t>（</w:t>
      </w:r>
      <w:r>
        <w:rPr>
          <w:rFonts w:hint="eastAsia" w:ascii="宋体" w:hAnsi="宋体" w:cs="宋体"/>
          <w:kern w:val="0"/>
          <w:sz w:val="24"/>
          <w:lang w:val="en-US" w:eastAsia="zh-CN"/>
        </w:rPr>
        <w:t>盖章</w:t>
      </w:r>
      <w:r>
        <w:rPr>
          <w:rFonts w:hint="eastAsia" w:ascii="宋体" w:hAnsi="宋体" w:cs="宋体"/>
          <w:kern w:val="0"/>
          <w:sz w:val="24"/>
          <w:lang w:val="zh-CN"/>
        </w:rPr>
        <w:t>）</w:t>
      </w:r>
      <w:r>
        <w:rPr>
          <w:rFonts w:hint="eastAsia" w:ascii="宋体" w:hAnsi="宋体" w:eastAsia="宋体" w:cs="宋体"/>
          <w:sz w:val="24"/>
        </w:rPr>
        <w:t xml:space="preserve">：                          </w:t>
      </w:r>
    </w:p>
    <w:p w14:paraId="1535216A">
      <w:pPr>
        <w:snapToGrid w:val="0"/>
        <w:spacing w:line="360" w:lineRule="auto"/>
        <w:rPr>
          <w:rFonts w:hint="eastAsia" w:ascii="宋体" w:hAnsi="宋体" w:eastAsia="宋体" w:cs="宋体"/>
          <w:b/>
          <w:bCs/>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日期：</w:t>
      </w:r>
    </w:p>
    <w:p w14:paraId="6D14E46A">
      <w:pPr>
        <w:snapToGrid w:val="0"/>
        <w:spacing w:line="360" w:lineRule="auto"/>
        <w:ind w:firstLine="2505" w:firstLineChars="1193"/>
        <w:rPr>
          <w:rFonts w:hint="eastAsia" w:ascii="宋体" w:hAnsi="宋体" w:eastAsia="宋体" w:cs="宋体"/>
        </w:rPr>
      </w:pPr>
    </w:p>
    <w:p w14:paraId="1E80D165">
      <w:pPr>
        <w:snapToGrid w:val="0"/>
        <w:spacing w:line="360" w:lineRule="auto"/>
        <w:ind w:firstLine="2505" w:firstLineChars="1193"/>
        <w:rPr>
          <w:rFonts w:hint="eastAsia" w:ascii="宋体" w:hAnsi="宋体" w:eastAsia="宋体" w:cs="宋体"/>
        </w:rPr>
      </w:pPr>
    </w:p>
    <w:p w14:paraId="6CBF1BB0">
      <w:pPr>
        <w:snapToGrid w:val="0"/>
        <w:spacing w:line="360" w:lineRule="auto"/>
        <w:ind w:firstLine="2505" w:firstLineChars="1193"/>
        <w:rPr>
          <w:rFonts w:hint="eastAsia" w:ascii="宋体" w:hAnsi="宋体" w:eastAsia="宋体" w:cs="宋体"/>
        </w:rPr>
      </w:pPr>
    </w:p>
    <w:p w14:paraId="22C509A7">
      <w:pPr>
        <w:snapToGrid w:val="0"/>
        <w:spacing w:line="360" w:lineRule="auto"/>
        <w:ind w:firstLine="2505" w:firstLineChars="1193"/>
        <w:rPr>
          <w:rFonts w:hint="eastAsia" w:ascii="宋体" w:hAnsi="宋体" w:eastAsia="宋体" w:cs="宋体"/>
        </w:rPr>
      </w:pPr>
    </w:p>
    <w:p w14:paraId="5203800B">
      <w:pPr>
        <w:snapToGrid w:val="0"/>
        <w:spacing w:line="360" w:lineRule="auto"/>
        <w:ind w:firstLine="2505" w:firstLineChars="1193"/>
        <w:rPr>
          <w:rFonts w:hint="eastAsia" w:ascii="宋体" w:hAnsi="宋体" w:eastAsia="宋体" w:cs="宋体"/>
        </w:rPr>
      </w:pPr>
    </w:p>
    <w:p w14:paraId="7D9CECB1">
      <w:pPr>
        <w:snapToGrid w:val="0"/>
        <w:spacing w:line="360" w:lineRule="auto"/>
        <w:ind w:firstLine="3833" w:firstLineChars="1193"/>
        <w:rPr>
          <w:rFonts w:hint="eastAsia" w:ascii="宋体" w:hAnsi="宋体" w:eastAsia="宋体" w:cs="宋体"/>
        </w:rPr>
      </w:pPr>
      <w:r>
        <w:rPr>
          <w:rFonts w:hint="eastAsia" w:ascii="宋体" w:hAnsi="宋体" w:eastAsia="宋体" w:cs="宋体"/>
          <w:b/>
          <w:kern w:val="0"/>
          <w:sz w:val="32"/>
          <w:szCs w:val="32"/>
          <w:lang w:val="zh-CN"/>
        </w:rPr>
        <w:t>授权委托书</w:t>
      </w:r>
      <w:r>
        <w:rPr>
          <w:rFonts w:hint="eastAsia" w:ascii="宋体" w:hAnsi="宋体" w:eastAsia="宋体" w:cs="宋体"/>
        </w:rPr>
        <w:t xml:space="preserve">                     </w:t>
      </w:r>
    </w:p>
    <w:p w14:paraId="03ACC398">
      <w:pPr>
        <w:snapToGrid w:val="0"/>
        <w:spacing w:line="360" w:lineRule="auto"/>
        <w:rPr>
          <w:rFonts w:hint="eastAsia" w:ascii="宋体" w:hAnsi="宋体" w:eastAsia="宋体" w:cs="宋体"/>
          <w:color w:val="FF0000"/>
          <w:sz w:val="24"/>
        </w:rPr>
      </w:pPr>
      <w:r>
        <w:rPr>
          <w:rFonts w:hint="eastAsia" w:ascii="宋体" w:hAnsi="宋体" w:cs="宋体"/>
          <w:color w:val="FF0000"/>
          <w:sz w:val="24"/>
          <w:lang w:eastAsia="zh-CN"/>
        </w:rPr>
        <w:t>桐庐县青少年宫</w:t>
      </w:r>
      <w:r>
        <w:rPr>
          <w:rFonts w:hint="eastAsia" w:ascii="宋体" w:hAnsi="宋体" w:eastAsia="宋体" w:cs="宋体"/>
          <w:color w:val="FF0000"/>
          <w:sz w:val="24"/>
          <w:lang w:eastAsia="zh-CN"/>
        </w:rPr>
        <w:t>、杭州全咨项目管理有限公司</w:t>
      </w:r>
      <w:r>
        <w:rPr>
          <w:rFonts w:hint="eastAsia" w:ascii="宋体" w:hAnsi="宋体" w:eastAsia="宋体" w:cs="宋体"/>
          <w:color w:val="FF0000"/>
          <w:sz w:val="24"/>
        </w:rPr>
        <w:t>：</w:t>
      </w:r>
    </w:p>
    <w:p w14:paraId="27A708B1">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cs="宋体"/>
          <w:color w:val="FF0000"/>
          <w:sz w:val="24"/>
          <w:lang w:eastAsia="zh-CN"/>
        </w:rPr>
        <w:t>2024年桐庐县青少年宫消防维保单位采购项目</w:t>
      </w:r>
      <w:r>
        <w:rPr>
          <w:rFonts w:hint="eastAsia" w:ascii="宋体" w:hAnsi="宋体" w:eastAsia="宋体" w:cs="宋体"/>
          <w:sz w:val="24"/>
        </w:rPr>
        <w:t>【招标编号：</w:t>
      </w:r>
      <w:r>
        <w:rPr>
          <w:rFonts w:hint="eastAsia" w:ascii="宋体" w:hAnsi="宋体" w:cs="宋体"/>
          <w:color w:val="FF0000"/>
          <w:sz w:val="24"/>
          <w:lang w:eastAsia="zh-CN"/>
        </w:rPr>
        <w:t>QZ23301222024025</w:t>
      </w:r>
      <w:r>
        <w:rPr>
          <w:rFonts w:hint="eastAsia" w:ascii="宋体" w:hAnsi="宋体" w:eastAsia="宋体" w:cs="宋体"/>
          <w:sz w:val="24"/>
        </w:rPr>
        <w:t>】</w:t>
      </w:r>
      <w:r>
        <w:rPr>
          <w:rFonts w:hint="eastAsia" w:ascii="宋体" w:hAnsi="宋体" w:eastAsia="宋体" w:cs="宋体"/>
          <w:kern w:val="0"/>
          <w:sz w:val="24"/>
          <w:lang w:val="zh-CN"/>
        </w:rPr>
        <w:t>采购投标的一切事项，其法律后果由我方承担。</w:t>
      </w:r>
    </w:p>
    <w:p w14:paraId="124ECBCB">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45726B4F">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6D7CBC9B">
      <w:pPr>
        <w:snapToGrid w:val="0"/>
        <w:spacing w:line="360" w:lineRule="auto"/>
        <w:rPr>
          <w:rFonts w:hint="eastAsia" w:ascii="宋体" w:hAnsi="宋体" w:eastAsia="宋体" w:cs="宋体"/>
          <w:sz w:val="24"/>
        </w:rPr>
      </w:pPr>
      <w:r>
        <w:rPr>
          <w:rFonts w:hint="eastAsia" w:ascii="宋体" w:hAnsi="宋体" w:eastAsia="宋体" w:cs="宋体"/>
          <w:kern w:val="0"/>
          <w:sz w:val="24"/>
          <w:lang w:val="zh-CN"/>
        </w:rPr>
        <w:t xml:space="preserve">                                                  </w:t>
      </w:r>
    </w:p>
    <w:p w14:paraId="44D24CC9">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w:t>
      </w:r>
      <w:r>
        <w:rPr>
          <w:rFonts w:hint="eastAsia" w:ascii="宋体" w:hAnsi="宋体" w:cs="宋体"/>
          <w:b/>
          <w:kern w:val="0"/>
          <w:sz w:val="32"/>
          <w:szCs w:val="32"/>
          <w:lang w:val="zh-CN"/>
        </w:rPr>
        <w:t>或</w:t>
      </w:r>
      <w:r>
        <w:rPr>
          <w:rFonts w:hint="eastAsia" w:ascii="宋体" w:hAnsi="宋体" w:eastAsia="宋体" w:cs="宋体"/>
          <w:b/>
          <w:kern w:val="0"/>
          <w:sz w:val="32"/>
          <w:szCs w:val="32"/>
          <w:lang w:val="zh-CN"/>
        </w:rPr>
        <w:t>单位负责人</w:t>
      </w:r>
      <w:r>
        <w:rPr>
          <w:rFonts w:hint="eastAsia" w:ascii="宋体" w:hAnsi="宋体" w:eastAsia="宋体" w:cs="宋体"/>
          <w:b/>
          <w:sz w:val="30"/>
          <w:szCs w:val="30"/>
        </w:rPr>
        <w:t>的身份证明（适用于法定代表人或者单位负责人本人代表</w:t>
      </w:r>
      <w:r>
        <w:rPr>
          <w:rFonts w:hint="eastAsia" w:ascii="宋体" w:hAnsi="宋体" w:cs="宋体"/>
          <w:b/>
          <w:sz w:val="30"/>
          <w:szCs w:val="30"/>
          <w:lang w:eastAsia="zh-CN"/>
        </w:rPr>
        <w:t>投标单位</w:t>
      </w:r>
      <w:r>
        <w:rPr>
          <w:rFonts w:hint="eastAsia" w:ascii="宋体" w:hAnsi="宋体" w:eastAsia="宋体" w:cs="宋体"/>
          <w:b/>
          <w:sz w:val="30"/>
          <w:szCs w:val="30"/>
        </w:rPr>
        <w:t>参加投标）</w:t>
      </w:r>
    </w:p>
    <w:p w14:paraId="0BD4C0A0">
      <w:pPr>
        <w:snapToGrid w:val="0"/>
        <w:spacing w:line="360" w:lineRule="auto"/>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法人身份证</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78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207" w:type="dxa"/>
          </w:tcPr>
          <w:p w14:paraId="79F9B9A8">
            <w:pPr>
              <w:pStyle w:val="153"/>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19EC83A9">
            <w:pPr>
              <w:pStyle w:val="153"/>
              <w:adjustRightInd w:val="0"/>
              <w:spacing w:line="360" w:lineRule="auto"/>
              <w:rPr>
                <w:rFonts w:hint="eastAsia" w:ascii="宋体" w:hAnsi="宋体" w:eastAsia="宋体" w:cs="宋体"/>
                <w:bCs/>
                <w:sz w:val="24"/>
              </w:rPr>
            </w:pPr>
          </w:p>
        </w:tc>
      </w:tr>
    </w:tbl>
    <w:p w14:paraId="64281E15">
      <w:pPr>
        <w:keepNext w:val="0"/>
        <w:keepLines w:val="0"/>
        <w:pageBreakBefore w:val="0"/>
        <w:widowControl w:val="0"/>
        <w:kinsoku/>
        <w:wordWrap/>
        <w:overflowPunct/>
        <w:topLinePunct w:val="0"/>
        <w:autoSpaceDE/>
        <w:autoSpaceDN/>
        <w:bidi w:val="0"/>
        <w:adjustRightInd w:val="0"/>
        <w:snapToGrid w:val="0"/>
        <w:spacing w:before="313" w:beforeLines="100" w:line="360" w:lineRule="auto"/>
        <w:ind w:left="0" w:leftChars="0" w:firstLine="0" w:firstLineChars="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授权代表身份证</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1B1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207" w:type="dxa"/>
          </w:tcPr>
          <w:p w14:paraId="4DCB33D3">
            <w:pPr>
              <w:pStyle w:val="153"/>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7EFCFE17">
            <w:pPr>
              <w:pStyle w:val="153"/>
              <w:adjustRightInd w:val="0"/>
              <w:spacing w:line="360" w:lineRule="auto"/>
              <w:rPr>
                <w:rFonts w:hint="eastAsia" w:ascii="宋体" w:hAnsi="宋体" w:eastAsia="宋体" w:cs="宋体"/>
                <w:bCs/>
                <w:sz w:val="24"/>
              </w:rPr>
            </w:pPr>
          </w:p>
        </w:tc>
      </w:tr>
    </w:tbl>
    <w:p w14:paraId="4EC0639B">
      <w:pPr>
        <w:tabs>
          <w:tab w:val="left" w:pos="4860"/>
        </w:tabs>
        <w:spacing w:line="360" w:lineRule="auto"/>
        <w:ind w:right="1560"/>
        <w:jc w:val="both"/>
        <w:rPr>
          <w:rFonts w:hint="eastAsia" w:ascii="宋体" w:hAnsi="宋体" w:eastAsia="宋体" w:cs="宋体"/>
        </w:rPr>
      </w:pPr>
    </w:p>
    <w:p w14:paraId="0F0DF9BB">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p>
    <w:p w14:paraId="4B45204A">
      <w:pPr>
        <w:spacing w:line="360" w:lineRule="auto"/>
        <w:ind w:firstLine="4320" w:firstLineChars="1800"/>
        <w:rPr>
          <w:rFonts w:hint="eastAsia" w:ascii="宋体" w:hAnsi="宋体" w:eastAsia="宋体" w:cs="宋体"/>
          <w:sz w:val="24"/>
        </w:rPr>
      </w:pPr>
      <w:r>
        <w:rPr>
          <w:rFonts w:hint="eastAsia" w:ascii="宋体" w:hAnsi="宋体" w:cs="宋体"/>
          <w:sz w:val="24"/>
          <w:lang w:eastAsia="zh-CN"/>
        </w:rPr>
        <w:t>投标单位</w:t>
      </w:r>
      <w:r>
        <w:rPr>
          <w:rFonts w:hint="eastAsia" w:ascii="宋体" w:hAnsi="宋体" w:eastAsia="宋体" w:cs="宋体"/>
          <w:sz w:val="24"/>
        </w:rPr>
        <w:t>名称</w:t>
      </w:r>
      <w:r>
        <w:rPr>
          <w:rFonts w:hint="eastAsia" w:ascii="宋体" w:hAnsi="宋体" w:cs="宋体"/>
          <w:kern w:val="0"/>
          <w:sz w:val="24"/>
          <w:lang w:val="zh-CN"/>
        </w:rPr>
        <w:t>（</w:t>
      </w:r>
      <w:r>
        <w:rPr>
          <w:rFonts w:hint="eastAsia" w:ascii="宋体" w:hAnsi="宋体" w:cs="宋体"/>
          <w:kern w:val="0"/>
          <w:sz w:val="24"/>
          <w:lang w:val="en-US" w:eastAsia="zh-CN"/>
        </w:rPr>
        <w:t>盖章</w:t>
      </w:r>
      <w:r>
        <w:rPr>
          <w:rFonts w:hint="eastAsia" w:ascii="宋体" w:hAnsi="宋体" w:cs="宋体"/>
          <w:kern w:val="0"/>
          <w:sz w:val="24"/>
          <w:lang w:val="zh-CN"/>
        </w:rPr>
        <w:t>）</w:t>
      </w:r>
      <w:r>
        <w:rPr>
          <w:rFonts w:hint="eastAsia" w:ascii="宋体" w:hAnsi="宋体" w:eastAsia="宋体" w:cs="宋体"/>
          <w:sz w:val="24"/>
        </w:rPr>
        <w:t xml:space="preserve">：                          </w:t>
      </w:r>
    </w:p>
    <w:p w14:paraId="56364412">
      <w:pPr>
        <w:spacing w:line="360" w:lineRule="auto"/>
        <w:jc w:val="center"/>
        <w:rPr>
          <w:rFonts w:hint="eastAsia" w:ascii="宋体" w:hAnsi="宋体" w:eastAsia="宋体" w:cs="宋体"/>
          <w:kern w:val="0"/>
          <w:sz w:val="24"/>
          <w:lang w:val="zh-CN"/>
        </w:rPr>
      </w:pPr>
      <w:r>
        <w:rPr>
          <w:rFonts w:hint="eastAsia" w:ascii="宋体" w:hAnsi="宋体" w:eastAsia="宋体" w:cs="宋体"/>
          <w:sz w:val="24"/>
        </w:rPr>
        <w:t xml:space="preserve">     日期：</w:t>
      </w:r>
    </w:p>
    <w:p w14:paraId="47F180D8">
      <w:pPr>
        <w:rPr>
          <w:rFonts w:hint="eastAsia" w:ascii="宋体" w:hAnsi="宋体" w:eastAsia="宋体" w:cs="宋体"/>
          <w:b/>
          <w:kern w:val="0"/>
          <w:sz w:val="32"/>
          <w:szCs w:val="32"/>
          <w:lang w:val="en-US" w:eastAsia="zh-CN"/>
        </w:rPr>
      </w:pPr>
    </w:p>
    <w:p w14:paraId="042DE9B9">
      <w:pPr>
        <w:jc w:val="center"/>
        <w:rPr>
          <w:rFonts w:hint="eastAsia" w:ascii="宋体" w:hAnsi="宋体" w:cs="宋体"/>
          <w:b/>
          <w:kern w:val="0"/>
          <w:sz w:val="32"/>
          <w:szCs w:val="32"/>
          <w:lang w:val="en-US" w:eastAsia="zh-CN"/>
        </w:rPr>
      </w:pPr>
    </w:p>
    <w:p w14:paraId="72D7F952">
      <w:pPr>
        <w:jc w:val="center"/>
        <w:rPr>
          <w:rFonts w:hint="default" w:ascii="宋体" w:hAnsi="宋体" w:eastAsia="宋体" w:cs="宋体"/>
          <w:b/>
          <w:kern w:val="0"/>
          <w:sz w:val="32"/>
          <w:szCs w:val="32"/>
          <w:lang w:val="en-US" w:eastAsia="zh-CN"/>
        </w:rPr>
      </w:pPr>
      <w:r>
        <w:rPr>
          <w:rFonts w:hint="eastAsia" w:ascii="宋体" w:hAnsi="宋体" w:cs="宋体"/>
          <w:b/>
          <w:kern w:val="0"/>
          <w:sz w:val="32"/>
          <w:szCs w:val="32"/>
          <w:lang w:val="en-US" w:eastAsia="zh-CN"/>
        </w:rPr>
        <w:t>六</w:t>
      </w:r>
      <w:r>
        <w:rPr>
          <w:rFonts w:hint="eastAsia" w:ascii="宋体" w:hAnsi="宋体" w:eastAsia="宋体" w:cs="宋体"/>
          <w:b/>
          <w:kern w:val="0"/>
          <w:sz w:val="32"/>
          <w:szCs w:val="32"/>
        </w:rPr>
        <w:t>、</w:t>
      </w:r>
      <w:r>
        <w:rPr>
          <w:rFonts w:hint="eastAsia" w:ascii="宋体" w:hAnsi="宋体" w:cs="宋体"/>
          <w:b/>
          <w:kern w:val="0"/>
          <w:sz w:val="32"/>
          <w:szCs w:val="32"/>
          <w:lang w:val="en-US" w:eastAsia="zh-CN"/>
        </w:rPr>
        <w:t>企业营业执照</w:t>
      </w:r>
    </w:p>
    <w:p w14:paraId="12CC8DF6">
      <w:pPr>
        <w:snapToGrid w:val="0"/>
        <w:spacing w:line="360" w:lineRule="auto"/>
        <w:rPr>
          <w:rFonts w:hint="eastAsia" w:ascii="宋体" w:hAnsi="宋体" w:eastAsia="宋体" w:cs="宋体"/>
          <w:sz w:val="24"/>
        </w:rPr>
      </w:pPr>
    </w:p>
    <w:p w14:paraId="5D584B86">
      <w:pPr>
        <w:spacing w:line="360" w:lineRule="auto"/>
        <w:jc w:val="center"/>
        <w:rPr>
          <w:rFonts w:hint="eastAsia" w:ascii="宋体" w:hAnsi="宋体" w:eastAsia="宋体" w:cs="宋体"/>
          <w:sz w:val="24"/>
        </w:rPr>
      </w:pPr>
    </w:p>
    <w:p w14:paraId="5BBD5ABC">
      <w:pPr>
        <w:spacing w:line="360" w:lineRule="auto"/>
        <w:jc w:val="center"/>
        <w:rPr>
          <w:rFonts w:hint="eastAsia" w:ascii="宋体" w:hAnsi="宋体" w:eastAsia="宋体" w:cs="宋体"/>
          <w:b/>
          <w:bCs/>
          <w:sz w:val="24"/>
        </w:rPr>
      </w:pPr>
    </w:p>
    <w:p w14:paraId="262E56E5">
      <w:pPr>
        <w:spacing w:line="360" w:lineRule="auto"/>
        <w:jc w:val="center"/>
        <w:rPr>
          <w:rFonts w:hint="eastAsia" w:ascii="宋体" w:hAnsi="宋体" w:eastAsia="宋体" w:cs="宋体"/>
          <w:b/>
          <w:bCs/>
          <w:sz w:val="24"/>
        </w:rPr>
      </w:pPr>
    </w:p>
    <w:p w14:paraId="5B683A26">
      <w:pPr>
        <w:pStyle w:val="83"/>
        <w:rPr>
          <w:rFonts w:hint="eastAsia" w:ascii="宋体" w:hAnsi="宋体" w:eastAsia="宋体" w:cs="宋体"/>
          <w:b/>
          <w:bCs/>
          <w:sz w:val="24"/>
        </w:rPr>
      </w:pPr>
    </w:p>
    <w:p w14:paraId="48D38145">
      <w:pPr>
        <w:pStyle w:val="83"/>
        <w:rPr>
          <w:rFonts w:hint="eastAsia" w:ascii="宋体" w:hAnsi="宋体" w:eastAsia="宋体" w:cs="宋体"/>
          <w:b/>
          <w:bCs/>
          <w:sz w:val="24"/>
        </w:rPr>
      </w:pPr>
    </w:p>
    <w:p w14:paraId="389BDDBC">
      <w:pPr>
        <w:pStyle w:val="83"/>
        <w:rPr>
          <w:rFonts w:hint="eastAsia" w:ascii="宋体" w:hAnsi="宋体" w:eastAsia="宋体" w:cs="宋体"/>
          <w:b/>
          <w:bCs/>
          <w:sz w:val="24"/>
        </w:rPr>
      </w:pPr>
    </w:p>
    <w:p w14:paraId="2D815A02">
      <w:pPr>
        <w:pStyle w:val="83"/>
        <w:rPr>
          <w:rFonts w:hint="eastAsia" w:ascii="宋体" w:hAnsi="宋体" w:eastAsia="宋体" w:cs="宋体"/>
          <w:b/>
          <w:bCs/>
          <w:sz w:val="24"/>
        </w:rPr>
      </w:pPr>
    </w:p>
    <w:p w14:paraId="77C114AE">
      <w:pPr>
        <w:pStyle w:val="83"/>
        <w:rPr>
          <w:rFonts w:hint="eastAsia" w:ascii="宋体" w:hAnsi="宋体" w:eastAsia="宋体" w:cs="宋体"/>
          <w:b/>
          <w:bCs/>
          <w:sz w:val="24"/>
        </w:rPr>
      </w:pPr>
    </w:p>
    <w:p w14:paraId="3C902E72">
      <w:pPr>
        <w:pStyle w:val="83"/>
        <w:rPr>
          <w:rFonts w:hint="eastAsia" w:ascii="宋体" w:hAnsi="宋体" w:eastAsia="宋体" w:cs="宋体"/>
          <w:b/>
          <w:bCs/>
          <w:sz w:val="24"/>
        </w:rPr>
      </w:pPr>
    </w:p>
    <w:p w14:paraId="57D547A8">
      <w:pPr>
        <w:pStyle w:val="83"/>
        <w:rPr>
          <w:rFonts w:hint="eastAsia" w:ascii="宋体" w:hAnsi="宋体" w:eastAsia="宋体" w:cs="宋体"/>
          <w:b/>
          <w:bCs/>
          <w:sz w:val="24"/>
        </w:rPr>
      </w:pPr>
    </w:p>
    <w:p w14:paraId="763F1282">
      <w:pPr>
        <w:pStyle w:val="83"/>
        <w:rPr>
          <w:rFonts w:hint="eastAsia" w:ascii="宋体" w:hAnsi="宋体" w:eastAsia="宋体" w:cs="宋体"/>
          <w:b/>
          <w:bCs/>
          <w:sz w:val="24"/>
        </w:rPr>
      </w:pPr>
    </w:p>
    <w:p w14:paraId="304E8AB0">
      <w:pPr>
        <w:pStyle w:val="83"/>
        <w:rPr>
          <w:rFonts w:hint="eastAsia" w:ascii="宋体" w:hAnsi="宋体" w:eastAsia="宋体" w:cs="宋体"/>
          <w:b/>
          <w:bCs/>
          <w:sz w:val="24"/>
        </w:rPr>
      </w:pPr>
    </w:p>
    <w:p w14:paraId="3BDE5AD2">
      <w:pPr>
        <w:pStyle w:val="83"/>
        <w:rPr>
          <w:rFonts w:hint="eastAsia" w:ascii="宋体" w:hAnsi="宋体" w:eastAsia="宋体" w:cs="宋体"/>
          <w:b/>
          <w:bCs/>
          <w:sz w:val="24"/>
        </w:rPr>
      </w:pPr>
    </w:p>
    <w:p w14:paraId="221C2B36">
      <w:pPr>
        <w:pStyle w:val="83"/>
        <w:rPr>
          <w:rFonts w:hint="eastAsia" w:ascii="宋体" w:hAnsi="宋体" w:eastAsia="宋体" w:cs="宋体"/>
          <w:b/>
          <w:bCs/>
          <w:sz w:val="24"/>
        </w:rPr>
      </w:pPr>
    </w:p>
    <w:p w14:paraId="493BC32E">
      <w:pPr>
        <w:pStyle w:val="83"/>
        <w:rPr>
          <w:rFonts w:hint="eastAsia" w:ascii="宋体" w:hAnsi="宋体" w:eastAsia="宋体" w:cs="宋体"/>
          <w:b/>
          <w:bCs/>
          <w:sz w:val="24"/>
        </w:rPr>
      </w:pPr>
    </w:p>
    <w:p w14:paraId="709ABB0C">
      <w:pPr>
        <w:pStyle w:val="83"/>
        <w:rPr>
          <w:rFonts w:hint="eastAsia" w:ascii="宋体" w:hAnsi="宋体" w:eastAsia="宋体" w:cs="宋体"/>
          <w:b/>
          <w:bCs/>
          <w:sz w:val="24"/>
        </w:rPr>
      </w:pPr>
    </w:p>
    <w:p w14:paraId="28F0E114">
      <w:pPr>
        <w:pStyle w:val="83"/>
        <w:rPr>
          <w:rFonts w:hint="eastAsia" w:ascii="宋体" w:hAnsi="宋体" w:eastAsia="宋体" w:cs="宋体"/>
          <w:b/>
          <w:bCs/>
          <w:sz w:val="24"/>
        </w:rPr>
      </w:pPr>
    </w:p>
    <w:p w14:paraId="6B8453CF">
      <w:pPr>
        <w:pStyle w:val="83"/>
        <w:rPr>
          <w:rFonts w:hint="eastAsia" w:ascii="宋体" w:hAnsi="宋体" w:eastAsia="宋体" w:cs="宋体"/>
          <w:b/>
          <w:bCs/>
          <w:sz w:val="24"/>
        </w:rPr>
      </w:pPr>
    </w:p>
    <w:p w14:paraId="08FBB600">
      <w:pPr>
        <w:pStyle w:val="83"/>
        <w:rPr>
          <w:rFonts w:hint="eastAsia" w:ascii="宋体" w:hAnsi="宋体" w:eastAsia="宋体" w:cs="宋体"/>
          <w:b/>
          <w:bCs/>
          <w:sz w:val="24"/>
        </w:rPr>
      </w:pPr>
    </w:p>
    <w:p w14:paraId="7323CAAF">
      <w:pPr>
        <w:pStyle w:val="83"/>
        <w:rPr>
          <w:rFonts w:hint="eastAsia" w:ascii="宋体" w:hAnsi="宋体" w:eastAsia="宋体" w:cs="宋体"/>
          <w:b/>
          <w:bCs/>
          <w:sz w:val="24"/>
        </w:rPr>
      </w:pPr>
    </w:p>
    <w:p w14:paraId="61EF05F3">
      <w:pPr>
        <w:pStyle w:val="83"/>
        <w:rPr>
          <w:rFonts w:hint="eastAsia" w:ascii="宋体" w:hAnsi="宋体" w:eastAsia="宋体" w:cs="宋体"/>
          <w:b/>
          <w:bCs/>
          <w:sz w:val="24"/>
        </w:rPr>
      </w:pPr>
    </w:p>
    <w:p w14:paraId="34EB1000">
      <w:pPr>
        <w:pStyle w:val="83"/>
        <w:rPr>
          <w:rFonts w:hint="eastAsia" w:ascii="宋体" w:hAnsi="宋体" w:eastAsia="宋体" w:cs="宋体"/>
          <w:b/>
          <w:bCs/>
          <w:sz w:val="24"/>
        </w:rPr>
      </w:pPr>
    </w:p>
    <w:p w14:paraId="4155BE90">
      <w:pPr>
        <w:pStyle w:val="83"/>
        <w:rPr>
          <w:rFonts w:hint="eastAsia" w:ascii="宋体" w:hAnsi="宋体" w:eastAsia="宋体" w:cs="宋体"/>
          <w:b/>
          <w:bCs/>
          <w:sz w:val="24"/>
        </w:rPr>
      </w:pPr>
    </w:p>
    <w:p w14:paraId="154CAFDC">
      <w:pPr>
        <w:pStyle w:val="83"/>
        <w:rPr>
          <w:rFonts w:hint="eastAsia" w:ascii="宋体" w:hAnsi="宋体" w:eastAsia="宋体" w:cs="宋体"/>
          <w:b/>
          <w:bCs/>
          <w:sz w:val="24"/>
        </w:rPr>
      </w:pPr>
    </w:p>
    <w:p w14:paraId="7E73D649">
      <w:pPr>
        <w:pStyle w:val="83"/>
        <w:rPr>
          <w:rFonts w:hint="eastAsia" w:ascii="宋体" w:hAnsi="宋体" w:eastAsia="宋体" w:cs="宋体"/>
          <w:b/>
          <w:bCs/>
          <w:sz w:val="24"/>
        </w:rPr>
      </w:pPr>
    </w:p>
    <w:p w14:paraId="307B0FA6">
      <w:pPr>
        <w:pStyle w:val="83"/>
        <w:rPr>
          <w:rFonts w:hint="eastAsia" w:ascii="宋体" w:hAnsi="宋体" w:eastAsia="宋体" w:cs="宋体"/>
          <w:b/>
          <w:bCs/>
          <w:sz w:val="24"/>
        </w:rPr>
      </w:pPr>
    </w:p>
    <w:p w14:paraId="0149DC25">
      <w:pPr>
        <w:pStyle w:val="83"/>
        <w:rPr>
          <w:rFonts w:hint="eastAsia" w:ascii="宋体" w:hAnsi="宋体" w:eastAsia="宋体" w:cs="宋体"/>
          <w:b/>
          <w:bCs/>
          <w:sz w:val="24"/>
        </w:rPr>
      </w:pPr>
    </w:p>
    <w:p w14:paraId="38869A9B">
      <w:pPr>
        <w:pStyle w:val="83"/>
        <w:rPr>
          <w:rFonts w:hint="eastAsia" w:ascii="宋体" w:hAnsi="宋体" w:eastAsia="宋体" w:cs="宋体"/>
          <w:b/>
          <w:bCs/>
          <w:sz w:val="24"/>
        </w:rPr>
      </w:pPr>
    </w:p>
    <w:p w14:paraId="36CAD197">
      <w:pPr>
        <w:pStyle w:val="83"/>
        <w:rPr>
          <w:rFonts w:hint="eastAsia" w:ascii="宋体" w:hAnsi="宋体" w:eastAsia="宋体" w:cs="宋体"/>
          <w:b/>
          <w:bCs/>
          <w:sz w:val="24"/>
        </w:rPr>
      </w:pPr>
    </w:p>
    <w:p w14:paraId="5CF3447F">
      <w:pPr>
        <w:pStyle w:val="83"/>
        <w:rPr>
          <w:rFonts w:hint="eastAsia" w:ascii="宋体" w:hAnsi="宋体" w:eastAsia="宋体" w:cs="宋体"/>
          <w:b/>
          <w:bCs/>
          <w:sz w:val="24"/>
        </w:rPr>
      </w:pPr>
    </w:p>
    <w:p w14:paraId="32AFD3C5">
      <w:pPr>
        <w:pStyle w:val="83"/>
        <w:rPr>
          <w:rFonts w:hint="eastAsia" w:ascii="宋体" w:hAnsi="宋体" w:eastAsia="宋体" w:cs="宋体"/>
          <w:b/>
          <w:bCs/>
          <w:sz w:val="24"/>
        </w:rPr>
      </w:pPr>
    </w:p>
    <w:p w14:paraId="6D58DC17">
      <w:pPr>
        <w:pStyle w:val="83"/>
        <w:rPr>
          <w:rFonts w:hint="eastAsia" w:ascii="宋体" w:hAnsi="宋体" w:eastAsia="宋体" w:cs="宋体"/>
          <w:b/>
          <w:bCs/>
          <w:sz w:val="24"/>
        </w:rPr>
      </w:pPr>
    </w:p>
    <w:p w14:paraId="2A539F34">
      <w:pPr>
        <w:pStyle w:val="83"/>
        <w:rPr>
          <w:rFonts w:hint="eastAsia" w:ascii="宋体" w:hAnsi="宋体" w:eastAsia="宋体" w:cs="宋体"/>
          <w:b/>
          <w:bCs/>
          <w:sz w:val="24"/>
        </w:rPr>
      </w:pPr>
    </w:p>
    <w:p w14:paraId="069D6941">
      <w:pPr>
        <w:pStyle w:val="83"/>
        <w:rPr>
          <w:rFonts w:hint="eastAsia" w:ascii="宋体" w:hAnsi="宋体" w:eastAsia="宋体" w:cs="宋体"/>
          <w:b/>
          <w:bCs/>
          <w:sz w:val="24"/>
        </w:rPr>
      </w:pPr>
    </w:p>
    <w:p w14:paraId="444547E5">
      <w:pPr>
        <w:pStyle w:val="83"/>
        <w:rPr>
          <w:rFonts w:hint="eastAsia" w:ascii="宋体" w:hAnsi="宋体" w:eastAsia="宋体" w:cs="宋体"/>
          <w:b/>
          <w:bCs/>
          <w:sz w:val="24"/>
        </w:rPr>
      </w:pPr>
    </w:p>
    <w:p w14:paraId="6E8AB995">
      <w:pPr>
        <w:pStyle w:val="83"/>
        <w:rPr>
          <w:rFonts w:hint="eastAsia" w:ascii="宋体" w:hAnsi="宋体" w:eastAsia="宋体" w:cs="宋体"/>
          <w:b/>
          <w:bCs/>
          <w:sz w:val="24"/>
        </w:rPr>
      </w:pPr>
    </w:p>
    <w:p w14:paraId="0CA22042">
      <w:pPr>
        <w:pStyle w:val="83"/>
        <w:rPr>
          <w:rFonts w:hint="eastAsia" w:ascii="宋体" w:hAnsi="宋体" w:eastAsia="宋体" w:cs="宋体"/>
          <w:b/>
          <w:bCs/>
          <w:sz w:val="24"/>
        </w:rPr>
      </w:pPr>
    </w:p>
    <w:p w14:paraId="27F591BB">
      <w:pPr>
        <w:pStyle w:val="83"/>
        <w:rPr>
          <w:rFonts w:hint="eastAsia" w:ascii="宋体" w:hAnsi="宋体" w:eastAsia="宋体" w:cs="宋体"/>
          <w:b/>
          <w:bCs/>
          <w:sz w:val="24"/>
        </w:rPr>
      </w:pPr>
    </w:p>
    <w:p w14:paraId="53E25966">
      <w:pPr>
        <w:pStyle w:val="83"/>
        <w:rPr>
          <w:rFonts w:hint="eastAsia" w:ascii="宋体" w:hAnsi="宋体" w:eastAsia="宋体" w:cs="宋体"/>
          <w:b/>
          <w:bCs/>
          <w:sz w:val="24"/>
        </w:rPr>
      </w:pPr>
    </w:p>
    <w:p w14:paraId="3A70B4E5">
      <w:pPr>
        <w:pStyle w:val="83"/>
        <w:rPr>
          <w:rFonts w:hint="eastAsia" w:ascii="宋体" w:hAnsi="宋体" w:eastAsia="宋体" w:cs="宋体"/>
          <w:b/>
          <w:bCs/>
          <w:sz w:val="24"/>
        </w:rPr>
      </w:pPr>
    </w:p>
    <w:p w14:paraId="3B974B1B">
      <w:pPr>
        <w:pStyle w:val="83"/>
        <w:rPr>
          <w:rFonts w:hint="eastAsia" w:ascii="宋体" w:hAnsi="宋体" w:eastAsia="宋体" w:cs="宋体"/>
          <w:b/>
          <w:bCs/>
          <w:sz w:val="24"/>
        </w:rPr>
      </w:pPr>
    </w:p>
    <w:p w14:paraId="6025287B">
      <w:pPr>
        <w:pStyle w:val="83"/>
        <w:numPr>
          <w:ilvl w:val="0"/>
          <w:numId w:val="0"/>
        </w:numPr>
        <w:ind w:leftChars="0"/>
        <w:jc w:val="center"/>
        <w:rPr>
          <w:rFonts w:hint="eastAsia" w:ascii="宋体" w:hAnsi="宋体" w:eastAsia="宋体" w:cs="宋体"/>
          <w:b/>
          <w:kern w:val="0"/>
          <w:sz w:val="32"/>
          <w:szCs w:val="32"/>
          <w:lang w:val="en-US" w:eastAsia="zh-CN" w:bidi="ar-SA"/>
        </w:rPr>
      </w:pPr>
      <w:r>
        <w:rPr>
          <w:rFonts w:hint="eastAsia" w:cs="宋体"/>
          <w:b/>
          <w:kern w:val="0"/>
          <w:sz w:val="32"/>
          <w:szCs w:val="32"/>
          <w:lang w:val="en-US" w:eastAsia="zh-CN" w:bidi="ar-SA"/>
        </w:rPr>
        <w:t>七、</w:t>
      </w:r>
      <w:r>
        <w:rPr>
          <w:rFonts w:hint="eastAsia" w:ascii="宋体" w:hAnsi="宋体" w:eastAsia="宋体" w:cs="宋体"/>
          <w:b/>
          <w:kern w:val="0"/>
          <w:sz w:val="32"/>
          <w:szCs w:val="32"/>
          <w:lang w:val="zh-CN" w:eastAsia="zh-CN" w:bidi="ar-SA"/>
        </w:rPr>
        <w:t>本项目的特定资格要求</w:t>
      </w:r>
      <w:r>
        <w:rPr>
          <w:rFonts w:hint="eastAsia" w:cs="宋体"/>
          <w:b/>
          <w:kern w:val="0"/>
          <w:sz w:val="32"/>
          <w:szCs w:val="32"/>
          <w:lang w:val="zh-CN" w:eastAsia="zh-CN" w:bidi="ar-SA"/>
        </w:rPr>
        <w:t>（</w:t>
      </w:r>
      <w:r>
        <w:rPr>
          <w:rFonts w:hint="eastAsia" w:cs="宋体"/>
          <w:b/>
          <w:kern w:val="0"/>
          <w:sz w:val="32"/>
          <w:szCs w:val="32"/>
          <w:lang w:val="en-US" w:eastAsia="zh-CN" w:bidi="ar-SA"/>
        </w:rPr>
        <w:t>如有）</w:t>
      </w:r>
    </w:p>
    <w:p w14:paraId="58877F62">
      <w:pPr>
        <w:pStyle w:val="83"/>
        <w:numPr>
          <w:ilvl w:val="0"/>
          <w:numId w:val="0"/>
        </w:numPr>
        <w:ind w:leftChars="0"/>
        <w:jc w:val="both"/>
        <w:rPr>
          <w:rFonts w:hint="eastAsia" w:ascii="宋体" w:hAnsi="宋体" w:eastAsia="宋体" w:cs="宋体"/>
          <w:b/>
          <w:kern w:val="0"/>
          <w:sz w:val="36"/>
          <w:szCs w:val="36"/>
        </w:rPr>
      </w:pPr>
    </w:p>
    <w:p w14:paraId="53A24C1C">
      <w:pPr>
        <w:pStyle w:val="83"/>
        <w:numPr>
          <w:ilvl w:val="0"/>
          <w:numId w:val="0"/>
        </w:numPr>
        <w:ind w:leftChars="0"/>
        <w:jc w:val="center"/>
        <w:rPr>
          <w:rFonts w:hint="eastAsia" w:ascii="宋体" w:hAnsi="宋体" w:eastAsia="宋体" w:cs="宋体"/>
          <w:b/>
          <w:kern w:val="0"/>
          <w:sz w:val="36"/>
          <w:szCs w:val="36"/>
        </w:rPr>
      </w:pPr>
    </w:p>
    <w:p w14:paraId="4B35350A">
      <w:pPr>
        <w:pStyle w:val="83"/>
        <w:numPr>
          <w:ilvl w:val="0"/>
          <w:numId w:val="0"/>
        </w:numPr>
        <w:ind w:leftChars="0"/>
        <w:jc w:val="center"/>
        <w:rPr>
          <w:rFonts w:hint="eastAsia" w:ascii="宋体" w:hAnsi="宋体" w:eastAsia="宋体" w:cs="宋体"/>
          <w:b/>
          <w:kern w:val="0"/>
          <w:sz w:val="36"/>
          <w:szCs w:val="36"/>
        </w:rPr>
      </w:pPr>
    </w:p>
    <w:p w14:paraId="6E18C86B">
      <w:pPr>
        <w:pStyle w:val="83"/>
        <w:numPr>
          <w:ilvl w:val="0"/>
          <w:numId w:val="0"/>
        </w:numPr>
        <w:ind w:leftChars="0"/>
        <w:jc w:val="center"/>
        <w:rPr>
          <w:rFonts w:hint="eastAsia" w:ascii="宋体" w:hAnsi="宋体" w:eastAsia="宋体" w:cs="宋体"/>
          <w:b/>
          <w:kern w:val="0"/>
          <w:sz w:val="36"/>
          <w:szCs w:val="36"/>
        </w:rPr>
      </w:pPr>
    </w:p>
    <w:p w14:paraId="4C004609">
      <w:pPr>
        <w:pStyle w:val="83"/>
        <w:numPr>
          <w:ilvl w:val="0"/>
          <w:numId w:val="0"/>
        </w:numPr>
        <w:ind w:leftChars="0"/>
        <w:jc w:val="center"/>
        <w:rPr>
          <w:rFonts w:hint="eastAsia" w:ascii="宋体" w:hAnsi="宋体" w:eastAsia="宋体" w:cs="宋体"/>
          <w:b/>
          <w:kern w:val="0"/>
          <w:sz w:val="36"/>
          <w:szCs w:val="36"/>
        </w:rPr>
      </w:pPr>
    </w:p>
    <w:p w14:paraId="2300938A">
      <w:pPr>
        <w:pStyle w:val="83"/>
        <w:numPr>
          <w:ilvl w:val="0"/>
          <w:numId w:val="0"/>
        </w:numPr>
        <w:ind w:leftChars="0"/>
        <w:jc w:val="center"/>
        <w:rPr>
          <w:rFonts w:hint="eastAsia" w:ascii="宋体" w:hAnsi="宋体" w:eastAsia="宋体" w:cs="宋体"/>
          <w:b/>
          <w:kern w:val="0"/>
          <w:sz w:val="36"/>
          <w:szCs w:val="36"/>
        </w:rPr>
      </w:pPr>
    </w:p>
    <w:p w14:paraId="0C2E53CA">
      <w:pPr>
        <w:pStyle w:val="83"/>
        <w:numPr>
          <w:ilvl w:val="0"/>
          <w:numId w:val="0"/>
        </w:numPr>
        <w:ind w:leftChars="0"/>
        <w:jc w:val="center"/>
        <w:rPr>
          <w:rFonts w:hint="eastAsia" w:ascii="宋体" w:hAnsi="宋体" w:eastAsia="宋体" w:cs="宋体"/>
          <w:b/>
          <w:kern w:val="0"/>
          <w:sz w:val="36"/>
          <w:szCs w:val="36"/>
        </w:rPr>
      </w:pPr>
    </w:p>
    <w:p w14:paraId="13AA8D1E">
      <w:pPr>
        <w:pStyle w:val="83"/>
        <w:numPr>
          <w:ilvl w:val="0"/>
          <w:numId w:val="0"/>
        </w:numPr>
        <w:ind w:leftChars="0"/>
        <w:jc w:val="center"/>
        <w:rPr>
          <w:rFonts w:hint="eastAsia" w:ascii="宋体" w:hAnsi="宋体" w:eastAsia="宋体" w:cs="宋体"/>
          <w:b/>
          <w:kern w:val="0"/>
          <w:sz w:val="36"/>
          <w:szCs w:val="36"/>
        </w:rPr>
      </w:pPr>
    </w:p>
    <w:p w14:paraId="237A28B4">
      <w:pPr>
        <w:pStyle w:val="83"/>
        <w:numPr>
          <w:ilvl w:val="0"/>
          <w:numId w:val="0"/>
        </w:numPr>
        <w:ind w:leftChars="0"/>
        <w:jc w:val="center"/>
        <w:rPr>
          <w:rFonts w:hint="eastAsia" w:ascii="宋体" w:hAnsi="宋体" w:eastAsia="宋体" w:cs="宋体"/>
          <w:b/>
          <w:kern w:val="0"/>
          <w:sz w:val="36"/>
          <w:szCs w:val="36"/>
        </w:rPr>
      </w:pPr>
    </w:p>
    <w:p w14:paraId="7041BCC0">
      <w:pPr>
        <w:pStyle w:val="83"/>
        <w:numPr>
          <w:ilvl w:val="0"/>
          <w:numId w:val="0"/>
        </w:numPr>
        <w:ind w:leftChars="0"/>
        <w:jc w:val="center"/>
        <w:rPr>
          <w:rFonts w:hint="eastAsia" w:ascii="宋体" w:hAnsi="宋体" w:eastAsia="宋体" w:cs="宋体"/>
          <w:b/>
          <w:kern w:val="0"/>
          <w:sz w:val="36"/>
          <w:szCs w:val="36"/>
        </w:rPr>
      </w:pPr>
    </w:p>
    <w:p w14:paraId="2DB85386">
      <w:pPr>
        <w:pStyle w:val="83"/>
        <w:numPr>
          <w:ilvl w:val="0"/>
          <w:numId w:val="0"/>
        </w:numPr>
        <w:ind w:leftChars="0"/>
        <w:jc w:val="center"/>
        <w:rPr>
          <w:rFonts w:hint="eastAsia" w:ascii="宋体" w:hAnsi="宋体" w:eastAsia="宋体" w:cs="宋体"/>
          <w:b/>
          <w:kern w:val="0"/>
          <w:sz w:val="36"/>
          <w:szCs w:val="36"/>
        </w:rPr>
      </w:pPr>
    </w:p>
    <w:p w14:paraId="055BD0EF">
      <w:pPr>
        <w:pStyle w:val="83"/>
        <w:numPr>
          <w:ilvl w:val="0"/>
          <w:numId w:val="0"/>
        </w:numPr>
        <w:ind w:leftChars="0"/>
        <w:jc w:val="center"/>
        <w:rPr>
          <w:rFonts w:hint="eastAsia" w:ascii="宋体" w:hAnsi="宋体" w:eastAsia="宋体" w:cs="宋体"/>
          <w:b/>
          <w:kern w:val="0"/>
          <w:sz w:val="36"/>
          <w:szCs w:val="36"/>
        </w:rPr>
      </w:pPr>
    </w:p>
    <w:p w14:paraId="5B052870">
      <w:pPr>
        <w:pStyle w:val="83"/>
        <w:numPr>
          <w:ilvl w:val="0"/>
          <w:numId w:val="0"/>
        </w:numPr>
        <w:ind w:leftChars="0"/>
        <w:jc w:val="center"/>
        <w:rPr>
          <w:rFonts w:hint="eastAsia" w:ascii="宋体" w:hAnsi="宋体" w:eastAsia="宋体" w:cs="宋体"/>
          <w:b/>
          <w:kern w:val="0"/>
          <w:sz w:val="36"/>
          <w:szCs w:val="36"/>
        </w:rPr>
      </w:pPr>
    </w:p>
    <w:p w14:paraId="36E5252F">
      <w:pPr>
        <w:pStyle w:val="83"/>
        <w:numPr>
          <w:ilvl w:val="0"/>
          <w:numId w:val="0"/>
        </w:numPr>
        <w:ind w:leftChars="0"/>
        <w:jc w:val="center"/>
        <w:rPr>
          <w:rFonts w:hint="eastAsia" w:ascii="宋体" w:hAnsi="宋体" w:eastAsia="宋体" w:cs="宋体"/>
          <w:b/>
          <w:kern w:val="0"/>
          <w:sz w:val="36"/>
          <w:szCs w:val="36"/>
        </w:rPr>
      </w:pPr>
    </w:p>
    <w:p w14:paraId="61D53740">
      <w:pPr>
        <w:pStyle w:val="83"/>
        <w:numPr>
          <w:ilvl w:val="0"/>
          <w:numId w:val="0"/>
        </w:numPr>
        <w:ind w:leftChars="0"/>
        <w:jc w:val="center"/>
        <w:rPr>
          <w:rFonts w:hint="eastAsia" w:ascii="宋体" w:hAnsi="宋体" w:eastAsia="宋体" w:cs="宋体"/>
          <w:b/>
          <w:kern w:val="0"/>
          <w:sz w:val="36"/>
          <w:szCs w:val="36"/>
        </w:rPr>
      </w:pPr>
    </w:p>
    <w:p w14:paraId="3858B6A8">
      <w:pPr>
        <w:pStyle w:val="83"/>
        <w:numPr>
          <w:ilvl w:val="0"/>
          <w:numId w:val="0"/>
        </w:numPr>
        <w:ind w:leftChars="0"/>
        <w:jc w:val="center"/>
        <w:rPr>
          <w:rFonts w:hint="eastAsia" w:ascii="宋体" w:hAnsi="宋体" w:eastAsia="宋体" w:cs="宋体"/>
          <w:b/>
          <w:kern w:val="0"/>
          <w:sz w:val="36"/>
          <w:szCs w:val="36"/>
        </w:rPr>
      </w:pPr>
    </w:p>
    <w:p w14:paraId="0095B718">
      <w:pPr>
        <w:pStyle w:val="83"/>
        <w:numPr>
          <w:ilvl w:val="0"/>
          <w:numId w:val="0"/>
        </w:numPr>
        <w:ind w:leftChars="0"/>
        <w:jc w:val="center"/>
        <w:rPr>
          <w:rFonts w:hint="eastAsia" w:ascii="宋体" w:hAnsi="宋体" w:eastAsia="宋体" w:cs="宋体"/>
          <w:b/>
          <w:kern w:val="0"/>
          <w:sz w:val="36"/>
          <w:szCs w:val="36"/>
        </w:rPr>
      </w:pPr>
    </w:p>
    <w:p w14:paraId="09A7A863">
      <w:pPr>
        <w:pStyle w:val="83"/>
        <w:numPr>
          <w:ilvl w:val="0"/>
          <w:numId w:val="0"/>
        </w:numPr>
        <w:ind w:leftChars="0"/>
        <w:jc w:val="center"/>
        <w:rPr>
          <w:rFonts w:hint="eastAsia" w:ascii="宋体" w:hAnsi="宋体" w:eastAsia="宋体" w:cs="宋体"/>
          <w:b/>
          <w:kern w:val="0"/>
          <w:sz w:val="36"/>
          <w:szCs w:val="36"/>
        </w:rPr>
      </w:pPr>
    </w:p>
    <w:p w14:paraId="7CDCE1BC">
      <w:pPr>
        <w:pStyle w:val="83"/>
        <w:numPr>
          <w:ilvl w:val="0"/>
          <w:numId w:val="0"/>
        </w:numPr>
        <w:ind w:leftChars="0"/>
        <w:jc w:val="center"/>
        <w:rPr>
          <w:rFonts w:hint="eastAsia" w:ascii="宋体" w:hAnsi="宋体" w:eastAsia="宋体" w:cs="宋体"/>
          <w:b/>
          <w:kern w:val="0"/>
          <w:sz w:val="36"/>
          <w:szCs w:val="36"/>
        </w:rPr>
      </w:pPr>
    </w:p>
    <w:p w14:paraId="34BAA189">
      <w:pPr>
        <w:pStyle w:val="83"/>
        <w:numPr>
          <w:ilvl w:val="0"/>
          <w:numId w:val="0"/>
        </w:numPr>
        <w:ind w:leftChars="0"/>
        <w:jc w:val="center"/>
        <w:rPr>
          <w:rFonts w:hint="eastAsia" w:ascii="宋体" w:hAnsi="宋体" w:eastAsia="宋体" w:cs="宋体"/>
          <w:b/>
          <w:kern w:val="0"/>
          <w:sz w:val="36"/>
          <w:szCs w:val="36"/>
        </w:rPr>
      </w:pPr>
    </w:p>
    <w:p w14:paraId="00042AF8">
      <w:pPr>
        <w:pStyle w:val="83"/>
        <w:numPr>
          <w:ilvl w:val="0"/>
          <w:numId w:val="0"/>
        </w:numPr>
        <w:ind w:leftChars="0"/>
        <w:jc w:val="center"/>
        <w:rPr>
          <w:rFonts w:hint="eastAsia" w:ascii="宋体" w:hAnsi="宋体" w:eastAsia="宋体" w:cs="宋体"/>
          <w:b/>
          <w:kern w:val="0"/>
          <w:sz w:val="36"/>
          <w:szCs w:val="36"/>
        </w:rPr>
      </w:pPr>
    </w:p>
    <w:p w14:paraId="3084D8EC">
      <w:pPr>
        <w:pStyle w:val="83"/>
        <w:numPr>
          <w:ilvl w:val="0"/>
          <w:numId w:val="0"/>
        </w:numPr>
        <w:ind w:leftChars="0"/>
        <w:jc w:val="center"/>
        <w:rPr>
          <w:rFonts w:hint="eastAsia" w:ascii="宋体" w:hAnsi="宋体" w:eastAsia="宋体" w:cs="宋体"/>
          <w:b/>
          <w:kern w:val="0"/>
          <w:sz w:val="36"/>
          <w:szCs w:val="36"/>
        </w:rPr>
      </w:pPr>
    </w:p>
    <w:p w14:paraId="1A432888">
      <w:pPr>
        <w:pStyle w:val="83"/>
        <w:numPr>
          <w:ilvl w:val="0"/>
          <w:numId w:val="0"/>
        </w:numPr>
        <w:ind w:leftChars="0"/>
        <w:jc w:val="center"/>
        <w:rPr>
          <w:rFonts w:hint="eastAsia" w:ascii="宋体" w:hAnsi="宋体" w:eastAsia="宋体" w:cs="宋体"/>
          <w:b/>
          <w:kern w:val="0"/>
          <w:sz w:val="36"/>
          <w:szCs w:val="36"/>
        </w:rPr>
      </w:pPr>
    </w:p>
    <w:p w14:paraId="7C88E69D">
      <w:pPr>
        <w:pStyle w:val="83"/>
        <w:numPr>
          <w:ilvl w:val="0"/>
          <w:numId w:val="0"/>
        </w:numPr>
        <w:ind w:leftChars="0"/>
        <w:jc w:val="center"/>
        <w:rPr>
          <w:rFonts w:hint="eastAsia" w:ascii="宋体" w:hAnsi="宋体" w:eastAsia="宋体" w:cs="宋体"/>
          <w:b/>
          <w:kern w:val="0"/>
          <w:sz w:val="36"/>
          <w:szCs w:val="36"/>
        </w:rPr>
      </w:pPr>
    </w:p>
    <w:p w14:paraId="759A7EFC">
      <w:pPr>
        <w:pStyle w:val="83"/>
        <w:numPr>
          <w:ilvl w:val="0"/>
          <w:numId w:val="0"/>
        </w:numPr>
        <w:ind w:leftChars="0"/>
        <w:jc w:val="center"/>
        <w:rPr>
          <w:rFonts w:hint="eastAsia" w:ascii="宋体" w:hAnsi="宋体" w:eastAsia="宋体" w:cs="宋体"/>
          <w:b/>
          <w:kern w:val="0"/>
          <w:sz w:val="36"/>
          <w:szCs w:val="36"/>
        </w:rPr>
      </w:pPr>
    </w:p>
    <w:p w14:paraId="57A29BB5">
      <w:pPr>
        <w:pStyle w:val="83"/>
        <w:numPr>
          <w:ilvl w:val="0"/>
          <w:numId w:val="0"/>
        </w:numPr>
        <w:ind w:leftChars="0"/>
        <w:jc w:val="center"/>
        <w:rPr>
          <w:rFonts w:hint="eastAsia" w:ascii="宋体" w:hAnsi="宋体" w:eastAsia="宋体" w:cs="宋体"/>
          <w:b/>
          <w:kern w:val="0"/>
          <w:sz w:val="36"/>
          <w:szCs w:val="36"/>
        </w:rPr>
      </w:pPr>
    </w:p>
    <w:p w14:paraId="713CC544">
      <w:pPr>
        <w:pStyle w:val="83"/>
        <w:numPr>
          <w:ilvl w:val="0"/>
          <w:numId w:val="0"/>
        </w:numPr>
        <w:ind w:leftChars="0"/>
        <w:jc w:val="center"/>
        <w:rPr>
          <w:rFonts w:hint="eastAsia" w:ascii="宋体" w:hAnsi="宋体" w:eastAsia="宋体" w:cs="宋体"/>
          <w:b/>
          <w:kern w:val="0"/>
          <w:sz w:val="36"/>
          <w:szCs w:val="36"/>
        </w:rPr>
      </w:pPr>
    </w:p>
    <w:p w14:paraId="12F27A26">
      <w:pPr>
        <w:pStyle w:val="83"/>
        <w:numPr>
          <w:ilvl w:val="0"/>
          <w:numId w:val="0"/>
        </w:numPr>
        <w:ind w:leftChars="0"/>
        <w:jc w:val="center"/>
        <w:rPr>
          <w:rFonts w:hint="eastAsia" w:ascii="宋体" w:hAnsi="宋体" w:eastAsia="宋体" w:cs="宋体"/>
          <w:b/>
          <w:kern w:val="0"/>
          <w:sz w:val="36"/>
          <w:szCs w:val="36"/>
        </w:rPr>
      </w:pPr>
    </w:p>
    <w:p w14:paraId="41F622E9">
      <w:pPr>
        <w:pStyle w:val="83"/>
        <w:numPr>
          <w:ilvl w:val="0"/>
          <w:numId w:val="0"/>
        </w:numPr>
        <w:ind w:leftChars="0"/>
        <w:jc w:val="center"/>
        <w:rPr>
          <w:rFonts w:hint="eastAsia" w:ascii="宋体" w:hAnsi="宋体" w:eastAsia="宋体" w:cs="宋体"/>
          <w:b/>
          <w:kern w:val="0"/>
          <w:sz w:val="36"/>
          <w:szCs w:val="36"/>
        </w:rPr>
      </w:pPr>
    </w:p>
    <w:p w14:paraId="01F82D77">
      <w:pPr>
        <w:pStyle w:val="83"/>
        <w:numPr>
          <w:ilvl w:val="0"/>
          <w:numId w:val="0"/>
        </w:numPr>
        <w:ind w:leftChars="0"/>
        <w:jc w:val="center"/>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2395916D">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74110CD3">
      <w:pPr>
        <w:spacing w:line="360" w:lineRule="auto"/>
        <w:jc w:val="center"/>
        <w:outlineLvl w:val="0"/>
        <w:rPr>
          <w:rFonts w:hint="eastAsia" w:ascii="宋体" w:hAnsi="宋体" w:eastAsia="宋体" w:cs="宋体"/>
          <w:b/>
          <w:kern w:val="0"/>
          <w:sz w:val="36"/>
          <w:szCs w:val="36"/>
        </w:rPr>
      </w:pPr>
    </w:p>
    <w:p w14:paraId="549E68BB">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208FA28C">
      <w:pPr>
        <w:snapToGrid w:val="0"/>
        <w:spacing w:line="360" w:lineRule="auto"/>
        <w:jc w:val="left"/>
        <w:rPr>
          <w:rFonts w:hint="eastAsia" w:ascii="宋体" w:hAnsi="宋体" w:eastAsia="宋体" w:cs="宋体"/>
          <w:sz w:val="24"/>
        </w:rPr>
      </w:pPr>
      <w:r>
        <w:rPr>
          <w:rFonts w:hint="eastAsia" w:ascii="宋体" w:hAnsi="宋体" w:eastAsia="宋体" w:cs="宋体"/>
          <w:sz w:val="24"/>
        </w:rPr>
        <w:t>（</w:t>
      </w:r>
      <w:r>
        <w:rPr>
          <w:rFonts w:hint="eastAsia" w:ascii="宋体" w:hAnsi="宋体" w:cs="宋体"/>
          <w:sz w:val="24"/>
          <w:lang w:val="en-US" w:eastAsia="zh-CN"/>
        </w:rPr>
        <w:t>2</w:t>
      </w:r>
      <w:r>
        <w:rPr>
          <w:rFonts w:hint="eastAsia" w:ascii="宋体" w:hAnsi="宋体" w:eastAsia="宋体" w:cs="宋体"/>
          <w:sz w:val="24"/>
        </w:rPr>
        <w:t>）</w:t>
      </w:r>
      <w:r>
        <w:rPr>
          <w:rFonts w:hint="eastAsia" w:ascii="宋体" w:hAnsi="宋体" w:eastAsia="宋体" w:cs="宋体"/>
          <w:sz w:val="24"/>
          <w:lang w:eastAsia="zh-CN"/>
        </w:rPr>
        <w:t>报价说明（如有）</w:t>
      </w:r>
      <w:r>
        <w:rPr>
          <w:rFonts w:hint="eastAsia" w:ascii="宋体" w:hAnsi="宋体" w:eastAsia="宋体" w:cs="宋体"/>
          <w:sz w:val="24"/>
        </w:rPr>
        <w:t>……………………………………………………………（页码）</w:t>
      </w:r>
    </w:p>
    <w:p w14:paraId="5B8A3359">
      <w:pPr>
        <w:pStyle w:val="28"/>
        <w:rPr>
          <w:rFonts w:hint="eastAsia" w:ascii="宋体" w:hAnsi="宋体" w:eastAsia="宋体" w:cs="宋体"/>
        </w:rPr>
      </w:pPr>
    </w:p>
    <w:p w14:paraId="4F837803">
      <w:pPr>
        <w:snapToGrid w:val="0"/>
        <w:spacing w:line="360" w:lineRule="auto"/>
        <w:ind w:right="480"/>
        <w:jc w:val="center"/>
        <w:rPr>
          <w:rFonts w:hint="eastAsia" w:ascii="宋体" w:hAnsi="宋体" w:eastAsia="宋体" w:cs="宋体"/>
          <w:b/>
          <w:kern w:val="0"/>
          <w:sz w:val="32"/>
          <w:szCs w:val="32"/>
        </w:rPr>
      </w:pPr>
    </w:p>
    <w:p w14:paraId="77F2431B">
      <w:pPr>
        <w:snapToGrid w:val="0"/>
        <w:spacing w:line="360" w:lineRule="auto"/>
        <w:ind w:right="480"/>
        <w:jc w:val="center"/>
        <w:rPr>
          <w:rFonts w:hint="eastAsia" w:ascii="宋体" w:hAnsi="宋体" w:eastAsia="宋体" w:cs="宋体"/>
          <w:b/>
          <w:kern w:val="0"/>
          <w:sz w:val="32"/>
          <w:szCs w:val="32"/>
        </w:rPr>
      </w:pPr>
    </w:p>
    <w:p w14:paraId="53C83323">
      <w:pPr>
        <w:snapToGrid w:val="0"/>
        <w:spacing w:line="360" w:lineRule="auto"/>
        <w:ind w:right="480"/>
        <w:jc w:val="center"/>
        <w:rPr>
          <w:rFonts w:hint="eastAsia" w:ascii="宋体" w:hAnsi="宋体" w:eastAsia="宋体" w:cs="宋体"/>
          <w:b/>
          <w:kern w:val="0"/>
          <w:sz w:val="32"/>
          <w:szCs w:val="32"/>
        </w:rPr>
      </w:pPr>
    </w:p>
    <w:p w14:paraId="3790FEC9">
      <w:pPr>
        <w:snapToGrid w:val="0"/>
        <w:spacing w:line="360" w:lineRule="auto"/>
        <w:ind w:right="480"/>
        <w:jc w:val="center"/>
        <w:rPr>
          <w:rFonts w:hint="eastAsia" w:ascii="宋体" w:hAnsi="宋体" w:eastAsia="宋体" w:cs="宋体"/>
          <w:b/>
          <w:kern w:val="0"/>
          <w:sz w:val="32"/>
          <w:szCs w:val="32"/>
        </w:rPr>
      </w:pPr>
    </w:p>
    <w:p w14:paraId="668115C2">
      <w:pPr>
        <w:snapToGrid w:val="0"/>
        <w:spacing w:line="360" w:lineRule="auto"/>
        <w:ind w:right="480"/>
        <w:jc w:val="center"/>
        <w:rPr>
          <w:rFonts w:hint="eastAsia" w:ascii="宋体" w:hAnsi="宋体" w:eastAsia="宋体" w:cs="宋体"/>
          <w:b/>
          <w:kern w:val="0"/>
          <w:sz w:val="32"/>
          <w:szCs w:val="32"/>
        </w:rPr>
      </w:pPr>
    </w:p>
    <w:p w14:paraId="7CE1442B">
      <w:pPr>
        <w:snapToGrid w:val="0"/>
        <w:spacing w:line="360" w:lineRule="auto"/>
        <w:ind w:right="480"/>
        <w:jc w:val="center"/>
        <w:rPr>
          <w:rFonts w:hint="eastAsia" w:ascii="宋体" w:hAnsi="宋体" w:eastAsia="宋体" w:cs="宋体"/>
          <w:b/>
          <w:kern w:val="0"/>
          <w:sz w:val="32"/>
          <w:szCs w:val="32"/>
        </w:rPr>
      </w:pPr>
    </w:p>
    <w:p w14:paraId="729A726A">
      <w:pPr>
        <w:snapToGrid w:val="0"/>
        <w:spacing w:line="360" w:lineRule="auto"/>
        <w:ind w:right="480"/>
        <w:jc w:val="center"/>
        <w:rPr>
          <w:rFonts w:hint="eastAsia" w:ascii="宋体" w:hAnsi="宋体" w:eastAsia="宋体" w:cs="宋体"/>
          <w:b/>
          <w:kern w:val="0"/>
          <w:sz w:val="32"/>
          <w:szCs w:val="32"/>
        </w:rPr>
      </w:pPr>
    </w:p>
    <w:p w14:paraId="6EEB9134">
      <w:pPr>
        <w:snapToGrid w:val="0"/>
        <w:spacing w:line="360" w:lineRule="auto"/>
        <w:ind w:right="480"/>
        <w:jc w:val="center"/>
        <w:rPr>
          <w:rFonts w:hint="eastAsia" w:ascii="宋体" w:hAnsi="宋体" w:eastAsia="宋体" w:cs="宋体"/>
          <w:b/>
          <w:kern w:val="0"/>
          <w:sz w:val="32"/>
          <w:szCs w:val="32"/>
        </w:rPr>
      </w:pPr>
    </w:p>
    <w:p w14:paraId="1BB3BF66">
      <w:pPr>
        <w:snapToGrid w:val="0"/>
        <w:spacing w:line="360" w:lineRule="auto"/>
        <w:ind w:right="480"/>
        <w:jc w:val="center"/>
        <w:rPr>
          <w:rFonts w:hint="eastAsia" w:ascii="宋体" w:hAnsi="宋体" w:eastAsia="宋体" w:cs="宋体"/>
          <w:b/>
          <w:kern w:val="0"/>
          <w:sz w:val="32"/>
          <w:szCs w:val="32"/>
        </w:rPr>
      </w:pPr>
    </w:p>
    <w:p w14:paraId="5C48DFCF">
      <w:pPr>
        <w:snapToGrid w:val="0"/>
        <w:spacing w:line="360" w:lineRule="auto"/>
        <w:ind w:right="480"/>
        <w:jc w:val="center"/>
        <w:rPr>
          <w:rFonts w:hint="eastAsia" w:ascii="宋体" w:hAnsi="宋体" w:eastAsia="宋体" w:cs="宋体"/>
          <w:b/>
          <w:kern w:val="0"/>
          <w:sz w:val="32"/>
          <w:szCs w:val="32"/>
        </w:rPr>
      </w:pPr>
    </w:p>
    <w:p w14:paraId="5F56DC5C">
      <w:pPr>
        <w:snapToGrid w:val="0"/>
        <w:spacing w:line="360" w:lineRule="auto"/>
        <w:ind w:right="480"/>
        <w:jc w:val="center"/>
        <w:rPr>
          <w:rFonts w:hint="eastAsia" w:ascii="宋体" w:hAnsi="宋体" w:eastAsia="宋体" w:cs="宋体"/>
          <w:b/>
          <w:kern w:val="0"/>
          <w:sz w:val="32"/>
          <w:szCs w:val="32"/>
        </w:rPr>
      </w:pPr>
    </w:p>
    <w:p w14:paraId="3F502E0D">
      <w:pPr>
        <w:snapToGrid w:val="0"/>
        <w:spacing w:line="360" w:lineRule="auto"/>
        <w:ind w:right="480"/>
        <w:jc w:val="center"/>
        <w:rPr>
          <w:rFonts w:hint="eastAsia" w:ascii="宋体" w:hAnsi="宋体" w:eastAsia="宋体" w:cs="宋体"/>
          <w:b/>
          <w:kern w:val="0"/>
          <w:sz w:val="32"/>
          <w:szCs w:val="32"/>
        </w:rPr>
      </w:pPr>
    </w:p>
    <w:p w14:paraId="2B7C305C">
      <w:pPr>
        <w:snapToGrid w:val="0"/>
        <w:spacing w:line="360" w:lineRule="auto"/>
        <w:ind w:right="480"/>
        <w:jc w:val="center"/>
        <w:rPr>
          <w:rFonts w:hint="eastAsia" w:ascii="宋体" w:hAnsi="宋体" w:eastAsia="宋体" w:cs="宋体"/>
          <w:b/>
          <w:kern w:val="0"/>
          <w:sz w:val="32"/>
          <w:szCs w:val="32"/>
        </w:rPr>
      </w:pPr>
    </w:p>
    <w:p w14:paraId="433F96EF">
      <w:pPr>
        <w:pStyle w:val="83"/>
        <w:rPr>
          <w:rFonts w:hint="eastAsia" w:ascii="宋体" w:hAnsi="宋体" w:eastAsia="宋体" w:cs="宋体"/>
          <w:b/>
          <w:kern w:val="0"/>
          <w:sz w:val="32"/>
          <w:szCs w:val="32"/>
        </w:rPr>
      </w:pPr>
    </w:p>
    <w:p w14:paraId="0504901F">
      <w:pPr>
        <w:pStyle w:val="83"/>
        <w:rPr>
          <w:rFonts w:hint="eastAsia" w:ascii="宋体" w:hAnsi="宋体" w:eastAsia="宋体" w:cs="宋体"/>
          <w:b/>
          <w:kern w:val="0"/>
          <w:sz w:val="32"/>
          <w:szCs w:val="32"/>
        </w:rPr>
      </w:pPr>
    </w:p>
    <w:p w14:paraId="3BB5018D">
      <w:pPr>
        <w:pStyle w:val="83"/>
        <w:rPr>
          <w:rFonts w:hint="eastAsia" w:ascii="宋体" w:hAnsi="宋体" w:eastAsia="宋体" w:cs="宋体"/>
          <w:b/>
          <w:kern w:val="0"/>
          <w:sz w:val="32"/>
          <w:szCs w:val="32"/>
        </w:rPr>
      </w:pPr>
    </w:p>
    <w:p w14:paraId="4AE2498A">
      <w:pPr>
        <w:pStyle w:val="83"/>
        <w:rPr>
          <w:rFonts w:hint="eastAsia" w:ascii="宋体" w:hAnsi="宋体" w:eastAsia="宋体" w:cs="宋体"/>
          <w:b/>
          <w:kern w:val="0"/>
          <w:sz w:val="32"/>
          <w:szCs w:val="32"/>
        </w:rPr>
      </w:pPr>
    </w:p>
    <w:p w14:paraId="60DBE833">
      <w:pPr>
        <w:pStyle w:val="27"/>
        <w:rPr>
          <w:rFonts w:hint="eastAsia"/>
          <w:lang w:eastAsia="zh-CN"/>
        </w:rPr>
      </w:pPr>
    </w:p>
    <w:p w14:paraId="4211405B">
      <w:pPr>
        <w:pStyle w:val="28"/>
        <w:rPr>
          <w:rFonts w:hint="eastAsia"/>
          <w:lang w:eastAsia="zh-CN"/>
        </w:rPr>
      </w:pPr>
    </w:p>
    <w:p w14:paraId="0DE064CB">
      <w:pPr>
        <w:pStyle w:val="692"/>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0D304C25">
      <w:pPr>
        <w:snapToGrid w:val="0"/>
        <w:spacing w:line="360" w:lineRule="auto"/>
        <w:rPr>
          <w:rFonts w:hint="eastAsia" w:ascii="宋体" w:hAnsi="宋体" w:eastAsia="宋体" w:cs="宋体"/>
          <w:color w:val="FF0000"/>
          <w:sz w:val="24"/>
        </w:rPr>
      </w:pPr>
      <w:r>
        <w:rPr>
          <w:rFonts w:hint="eastAsia" w:ascii="宋体" w:hAnsi="宋体" w:cs="宋体"/>
          <w:color w:val="FF0000"/>
          <w:sz w:val="24"/>
          <w:lang w:eastAsia="zh-CN"/>
        </w:rPr>
        <w:t>桐庐县青少年宫</w:t>
      </w:r>
      <w:r>
        <w:rPr>
          <w:rFonts w:hint="eastAsia" w:ascii="宋体" w:hAnsi="宋体" w:eastAsia="宋体" w:cs="宋体"/>
          <w:color w:val="FF0000"/>
          <w:sz w:val="24"/>
          <w:lang w:eastAsia="zh-CN"/>
        </w:rPr>
        <w:t>、杭州全咨项目管理有限公司</w:t>
      </w:r>
      <w:r>
        <w:rPr>
          <w:rFonts w:hint="eastAsia" w:ascii="宋体" w:hAnsi="宋体" w:eastAsia="宋体" w:cs="宋体"/>
          <w:color w:val="FF0000"/>
          <w:sz w:val="24"/>
        </w:rPr>
        <w:t>：</w:t>
      </w:r>
    </w:p>
    <w:p w14:paraId="19826A12">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w:t>
      </w:r>
      <w:r>
        <w:rPr>
          <w:rFonts w:hint="eastAsia" w:ascii="宋体" w:hAnsi="宋体" w:cs="宋体"/>
          <w:kern w:val="0"/>
          <w:sz w:val="24"/>
          <w:u w:val="single"/>
          <w:lang w:val="en-US" w:eastAsia="zh-CN"/>
        </w:rPr>
        <w:t xml:space="preserve">           </w:t>
      </w:r>
      <w:r>
        <w:rPr>
          <w:rFonts w:hint="eastAsia" w:ascii="宋体" w:hAnsi="宋体" w:eastAsia="宋体" w:cs="宋体"/>
          <w:kern w:val="0"/>
          <w:sz w:val="24"/>
          <w:lang w:val="zh-CN"/>
        </w:rPr>
        <w:t>本投标文件签字方，谨此向你方发出要约如下：如你方接受本投标，我方承诺按照如下开标一览表（报价表）的价格完成</w:t>
      </w:r>
      <w:r>
        <w:rPr>
          <w:rFonts w:hint="eastAsia" w:ascii="宋体" w:hAnsi="宋体" w:cs="宋体"/>
          <w:color w:val="FF0000"/>
          <w:sz w:val="24"/>
          <w:lang w:eastAsia="zh-CN"/>
        </w:rPr>
        <w:t>2024年桐庐县青少年宫消防维保单位采购项目</w:t>
      </w:r>
      <w:r>
        <w:rPr>
          <w:rFonts w:hint="eastAsia" w:ascii="宋体" w:hAnsi="宋体" w:eastAsia="宋体" w:cs="宋体"/>
          <w:kern w:val="0"/>
          <w:sz w:val="24"/>
          <w:lang w:val="zh-CN"/>
        </w:rPr>
        <w:t>【招标编号：</w:t>
      </w:r>
      <w:r>
        <w:rPr>
          <w:rFonts w:hint="eastAsia" w:ascii="宋体" w:hAnsi="宋体" w:cs="宋体"/>
          <w:color w:val="FF0000"/>
          <w:sz w:val="24"/>
          <w:lang w:eastAsia="zh-CN"/>
        </w:rPr>
        <w:t>QZ23301222024025</w:t>
      </w:r>
      <w:r>
        <w:rPr>
          <w:rFonts w:hint="eastAsia" w:ascii="宋体" w:hAnsi="宋体" w:eastAsia="宋体" w:cs="宋体"/>
          <w:sz w:val="24"/>
        </w:rPr>
        <w:t>】的实施</w:t>
      </w:r>
      <w:r>
        <w:rPr>
          <w:rFonts w:hint="eastAsia" w:ascii="宋体" w:hAnsi="宋体" w:eastAsia="宋体" w:cs="宋体"/>
          <w:kern w:val="0"/>
          <w:sz w:val="24"/>
          <w:lang w:val="zh-CN"/>
        </w:rPr>
        <w:t>。</w:t>
      </w:r>
    </w:p>
    <w:p w14:paraId="631BC29C">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开标一览表（报价表）</w:t>
      </w:r>
      <w:r>
        <w:rPr>
          <w:rFonts w:hint="eastAsia" w:ascii="宋体" w:hAnsi="宋体" w:cs="宋体"/>
          <w:b/>
          <w:kern w:val="0"/>
          <w:sz w:val="24"/>
          <w:highlight w:val="none"/>
          <w:lang w:val="zh-CN"/>
        </w:rPr>
        <w:t>（</w:t>
      </w:r>
      <w:r>
        <w:rPr>
          <w:rFonts w:hint="eastAsia" w:ascii="宋体" w:hAnsi="宋体" w:eastAsia="宋体" w:cs="宋体"/>
          <w:b/>
          <w:kern w:val="0"/>
          <w:sz w:val="24"/>
          <w:highlight w:val="none"/>
          <w:lang w:val="zh-CN"/>
        </w:rPr>
        <w:t>单位均为人民币元</w:t>
      </w:r>
      <w:r>
        <w:rPr>
          <w:rFonts w:hint="eastAsia" w:ascii="宋体" w:hAnsi="宋体" w:cs="宋体"/>
          <w:b/>
          <w:kern w:val="0"/>
          <w:sz w:val="24"/>
          <w:highlight w:val="none"/>
          <w:lang w:val="zh-CN"/>
        </w:rPr>
        <w:t>）</w:t>
      </w:r>
    </w:p>
    <w:tbl>
      <w:tblPr>
        <w:tblStyle w:val="63"/>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767"/>
        <w:gridCol w:w="1032"/>
        <w:gridCol w:w="1560"/>
        <w:gridCol w:w="2052"/>
      </w:tblGrid>
      <w:tr w14:paraId="3039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36" w:type="dxa"/>
            <w:vAlign w:val="center"/>
          </w:tcPr>
          <w:p w14:paraId="57A8A65E">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3767" w:type="dxa"/>
            <w:vAlign w:val="center"/>
          </w:tcPr>
          <w:p w14:paraId="3E064727">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名称</w:t>
            </w:r>
          </w:p>
        </w:tc>
        <w:tc>
          <w:tcPr>
            <w:tcW w:w="1032" w:type="dxa"/>
            <w:vAlign w:val="center"/>
          </w:tcPr>
          <w:p w14:paraId="57C33BF4">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数量</w:t>
            </w:r>
          </w:p>
        </w:tc>
        <w:tc>
          <w:tcPr>
            <w:tcW w:w="1560" w:type="dxa"/>
            <w:vAlign w:val="center"/>
          </w:tcPr>
          <w:p w14:paraId="3A4BD51C">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服务期</w:t>
            </w:r>
          </w:p>
        </w:tc>
        <w:tc>
          <w:tcPr>
            <w:tcW w:w="2052" w:type="dxa"/>
            <w:vAlign w:val="center"/>
          </w:tcPr>
          <w:p w14:paraId="1978AA0D">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sz w:val="24"/>
                <w:highlight w:val="none"/>
              </w:rPr>
            </w:pPr>
            <w:r>
              <w:rPr>
                <w:rFonts w:hint="eastAsia" w:ascii="宋体" w:hAnsi="宋体" w:eastAsia="宋体" w:cs="宋体"/>
                <w:b/>
                <w:sz w:val="24"/>
                <w:highlight w:val="none"/>
              </w:rPr>
              <w:t>总价</w:t>
            </w:r>
            <w:r>
              <w:rPr>
                <w:rFonts w:hint="eastAsia" w:ascii="宋体" w:hAnsi="宋体" w:eastAsia="宋体" w:cs="宋体"/>
                <w:b/>
                <w:sz w:val="24"/>
                <w:highlight w:val="none"/>
                <w:lang w:eastAsia="zh-CN"/>
              </w:rPr>
              <w:t>（</w:t>
            </w:r>
            <w:r>
              <w:rPr>
                <w:rFonts w:hint="eastAsia" w:ascii="宋体" w:hAnsi="宋体" w:eastAsia="宋体" w:cs="宋体"/>
                <w:b/>
                <w:sz w:val="24"/>
                <w:highlight w:val="none"/>
                <w:lang w:val="en-US" w:eastAsia="zh-CN"/>
              </w:rPr>
              <w:t>元</w:t>
            </w:r>
            <w:r>
              <w:rPr>
                <w:rFonts w:hint="eastAsia" w:ascii="宋体" w:hAnsi="宋体" w:cs="宋体"/>
                <w:b/>
                <w:sz w:val="24"/>
                <w:highlight w:val="none"/>
                <w:lang w:val="en-US" w:eastAsia="zh-CN"/>
              </w:rPr>
              <w:t>/年</w:t>
            </w:r>
            <w:r>
              <w:rPr>
                <w:rFonts w:hint="eastAsia" w:ascii="宋体" w:hAnsi="宋体" w:eastAsia="宋体" w:cs="宋体"/>
                <w:b/>
                <w:sz w:val="24"/>
                <w:highlight w:val="none"/>
                <w:lang w:eastAsia="zh-CN"/>
              </w:rPr>
              <w:t>）</w:t>
            </w:r>
          </w:p>
        </w:tc>
      </w:tr>
      <w:tr w14:paraId="74BB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14:paraId="6397DE0F">
            <w:pPr>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3767" w:type="dxa"/>
            <w:vAlign w:val="center"/>
          </w:tcPr>
          <w:p w14:paraId="74014E5A">
            <w:pPr>
              <w:pStyle w:val="59"/>
              <w:keepNext w:val="0"/>
              <w:keepLines w:val="0"/>
              <w:pageBreakBefore w:val="0"/>
              <w:widowControl/>
              <w:kinsoku/>
              <w:wordWrap w:val="0"/>
              <w:overflowPunct/>
              <w:topLinePunct w:val="0"/>
              <w:autoSpaceDE w:val="0"/>
              <w:autoSpaceDN/>
              <w:bidi w:val="0"/>
              <w:adjustRightInd w:val="0"/>
              <w:snapToGrid/>
              <w:spacing w:before="0" w:beforeAutospacing="0" w:after="157" w:afterLines="50" w:afterAutospacing="0" w:line="500" w:lineRule="atLeast"/>
              <w:jc w:val="center"/>
              <w:textAlignment w:val="auto"/>
              <w:rPr>
                <w:rFonts w:hint="eastAsia" w:cs="宋体"/>
                <w:color w:val="FF0000"/>
                <w:sz w:val="24"/>
                <w:lang w:eastAsia="zh-CN"/>
              </w:rPr>
            </w:pPr>
            <w:r>
              <w:rPr>
                <w:rFonts w:hint="eastAsia" w:cs="宋体"/>
                <w:color w:val="FF0000"/>
                <w:sz w:val="24"/>
                <w:lang w:eastAsia="zh-CN"/>
              </w:rPr>
              <w:t>2024年桐庐县青少年宫消防</w:t>
            </w:r>
          </w:p>
          <w:p w14:paraId="39556C02">
            <w:pPr>
              <w:pStyle w:val="59"/>
              <w:keepNext w:val="0"/>
              <w:keepLines w:val="0"/>
              <w:pageBreakBefore w:val="0"/>
              <w:widowControl/>
              <w:kinsoku/>
              <w:wordWrap w:val="0"/>
              <w:overflowPunct/>
              <w:topLinePunct w:val="0"/>
              <w:autoSpaceDE w:val="0"/>
              <w:autoSpaceDN/>
              <w:bidi w:val="0"/>
              <w:adjustRightInd w:val="0"/>
              <w:snapToGrid/>
              <w:spacing w:before="0" w:beforeAutospacing="0" w:after="157" w:afterLines="50" w:afterAutospacing="0" w:line="500" w:lineRule="atLeast"/>
              <w:jc w:val="center"/>
              <w:textAlignment w:val="auto"/>
              <w:rPr>
                <w:rFonts w:hint="eastAsia" w:ascii="宋体" w:hAnsi="宋体" w:eastAsia="宋体" w:cs="宋体"/>
                <w:bCs/>
                <w:color w:val="000000"/>
                <w:kern w:val="2"/>
                <w:highlight w:val="none"/>
                <w:lang w:eastAsia="zh-CN"/>
              </w:rPr>
            </w:pPr>
            <w:r>
              <w:rPr>
                <w:rFonts w:hint="eastAsia" w:cs="宋体"/>
                <w:color w:val="FF0000"/>
                <w:sz w:val="24"/>
                <w:lang w:eastAsia="zh-CN"/>
              </w:rPr>
              <w:t>维保单位采购项目</w:t>
            </w:r>
          </w:p>
        </w:tc>
        <w:tc>
          <w:tcPr>
            <w:tcW w:w="1032" w:type="dxa"/>
            <w:vAlign w:val="center"/>
          </w:tcPr>
          <w:p w14:paraId="096FBD0F">
            <w:pPr>
              <w:pStyle w:val="59"/>
              <w:wordWrap w:val="0"/>
              <w:autoSpaceDE w:val="0"/>
              <w:spacing w:before="0" w:beforeAutospacing="0" w:after="0" w:afterAutospacing="0" w:line="500" w:lineRule="atLeast"/>
              <w:jc w:val="center"/>
              <w:rPr>
                <w:rFonts w:hint="eastAsia" w:ascii="宋体" w:hAnsi="宋体" w:eastAsia="宋体" w:cs="宋体"/>
                <w:bCs/>
                <w:color w:val="000000"/>
                <w:kern w:val="2"/>
                <w:highlight w:val="none"/>
                <w:lang w:val="en-US" w:eastAsia="zh-CN"/>
              </w:rPr>
            </w:pPr>
            <w:r>
              <w:rPr>
                <w:rFonts w:hint="eastAsia" w:ascii="宋体" w:hAnsi="宋体" w:eastAsia="宋体" w:cs="宋体"/>
                <w:bCs/>
                <w:color w:val="000000"/>
                <w:kern w:val="2"/>
                <w:highlight w:val="none"/>
              </w:rPr>
              <w:t>1</w:t>
            </w:r>
            <w:r>
              <w:rPr>
                <w:rFonts w:hint="eastAsia" w:ascii="宋体" w:hAnsi="宋体" w:eastAsia="宋体" w:cs="宋体"/>
                <w:bCs/>
                <w:color w:val="000000"/>
                <w:kern w:val="2"/>
                <w:highlight w:val="none"/>
                <w:lang w:val="en-US" w:eastAsia="zh-CN"/>
              </w:rPr>
              <w:t>项</w:t>
            </w:r>
          </w:p>
        </w:tc>
        <w:tc>
          <w:tcPr>
            <w:tcW w:w="1560" w:type="dxa"/>
            <w:vAlign w:val="center"/>
          </w:tcPr>
          <w:p w14:paraId="455B9CAE">
            <w:pPr>
              <w:pStyle w:val="59"/>
              <w:wordWrap w:val="0"/>
              <w:autoSpaceDE w:val="0"/>
              <w:spacing w:before="0" w:beforeAutospacing="0" w:after="0" w:afterAutospacing="0" w:line="500" w:lineRule="atLeast"/>
              <w:jc w:val="center"/>
              <w:rPr>
                <w:rFonts w:hint="default" w:ascii="宋体" w:hAnsi="宋体" w:eastAsia="宋体" w:cs="宋体"/>
                <w:bCs/>
                <w:color w:val="000000"/>
                <w:kern w:val="2"/>
                <w:highlight w:val="none"/>
                <w:lang w:val="en-US" w:eastAsia="zh-CN"/>
              </w:rPr>
            </w:pPr>
            <w:r>
              <w:rPr>
                <w:rFonts w:hint="eastAsia" w:cs="宋体"/>
                <w:bCs/>
                <w:color w:val="000000"/>
                <w:kern w:val="2"/>
                <w:highlight w:val="yellow"/>
                <w:lang w:val="en-US" w:eastAsia="zh-CN"/>
              </w:rPr>
              <w:t>1</w:t>
            </w:r>
            <w:r>
              <w:rPr>
                <w:rFonts w:hint="eastAsia" w:ascii="宋体" w:hAnsi="宋体" w:eastAsia="宋体" w:cs="宋体"/>
                <w:bCs/>
                <w:color w:val="000000"/>
                <w:kern w:val="2"/>
                <w:highlight w:val="yellow"/>
                <w:lang w:val="en-US" w:eastAsia="zh-CN"/>
              </w:rPr>
              <w:t>年</w:t>
            </w:r>
          </w:p>
        </w:tc>
        <w:tc>
          <w:tcPr>
            <w:tcW w:w="2052" w:type="dxa"/>
            <w:vAlign w:val="center"/>
          </w:tcPr>
          <w:p w14:paraId="11EBC812">
            <w:pPr>
              <w:spacing w:line="360" w:lineRule="auto"/>
              <w:jc w:val="center"/>
              <w:rPr>
                <w:rFonts w:hint="eastAsia" w:ascii="宋体" w:hAnsi="宋体" w:eastAsia="宋体" w:cs="宋体"/>
                <w:sz w:val="24"/>
                <w:highlight w:val="none"/>
              </w:rPr>
            </w:pPr>
          </w:p>
        </w:tc>
      </w:tr>
      <w:tr w14:paraId="55A8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147" w:type="dxa"/>
            <w:gridSpan w:val="5"/>
            <w:vAlign w:val="center"/>
          </w:tcPr>
          <w:p w14:paraId="33CB844C">
            <w:pPr>
              <w:keepNext w:val="0"/>
              <w:keepLines w:val="0"/>
              <w:pageBreakBefore w:val="0"/>
              <w:widowControl w:val="0"/>
              <w:kinsoku/>
              <w:wordWrap/>
              <w:overflowPunct/>
              <w:topLinePunct w:val="0"/>
              <w:autoSpaceDE/>
              <w:autoSpaceDN/>
              <w:bidi w:val="0"/>
              <w:adjustRightInd w:val="0"/>
              <w:snapToGrid/>
              <w:spacing w:before="157" w:beforeLines="50" w:line="360" w:lineRule="auto"/>
              <w:jc w:val="center"/>
              <w:textAlignment w:val="auto"/>
              <w:rPr>
                <w:rFonts w:hint="eastAsia" w:ascii="宋体" w:hAnsi="宋体" w:eastAsia="宋体" w:cs="宋体"/>
                <w:b/>
                <w:sz w:val="24"/>
                <w:highlight w:val="none"/>
                <w:lang w:eastAsia="zh-CN"/>
              </w:rPr>
            </w:pPr>
            <w:r>
              <w:rPr>
                <w:rFonts w:hint="eastAsia" w:ascii="宋体" w:hAnsi="宋体" w:eastAsia="宋体" w:cs="宋体"/>
                <w:b/>
                <w:sz w:val="24"/>
                <w:highlight w:val="none"/>
              </w:rPr>
              <w:t>投标报价（大写）：</w:t>
            </w:r>
            <w:r>
              <w:rPr>
                <w:rFonts w:hint="eastAsia" w:ascii="宋体" w:hAnsi="宋体" w:eastAsia="宋体" w:cs="宋体"/>
                <w:b/>
                <w:sz w:val="24"/>
                <w:highlight w:val="none"/>
                <w:u w:val="single"/>
              </w:rPr>
              <w:t xml:space="preserve">                   </w:t>
            </w:r>
            <w:r>
              <w:rPr>
                <w:rFonts w:hint="eastAsia" w:ascii="宋体" w:hAnsi="宋体" w:eastAsia="宋体" w:cs="宋体"/>
                <w:b/>
                <w:bCs w:val="0"/>
                <w:sz w:val="24"/>
                <w:highlight w:val="none"/>
                <w:u w:val="none"/>
              </w:rPr>
              <w:t xml:space="preserve"> </w:t>
            </w:r>
            <w:r>
              <w:rPr>
                <w:rFonts w:hint="eastAsia" w:ascii="宋体" w:hAnsi="宋体" w:cs="宋体"/>
                <w:b/>
                <w:bCs w:val="0"/>
                <w:sz w:val="24"/>
                <w:highlight w:val="none"/>
                <w:u w:val="none"/>
                <w:lang w:eastAsia="zh-CN"/>
              </w:rPr>
              <w:t>元</w:t>
            </w:r>
            <w:r>
              <w:rPr>
                <w:rFonts w:hint="eastAsia" w:ascii="宋体" w:hAnsi="宋体" w:cs="宋体"/>
                <w:b/>
                <w:bCs w:val="0"/>
                <w:sz w:val="24"/>
                <w:highlight w:val="none"/>
                <w:u w:val="none"/>
                <w:lang w:val="en-US" w:eastAsia="zh-CN"/>
              </w:rPr>
              <w:t>/年</w:t>
            </w:r>
          </w:p>
        </w:tc>
      </w:tr>
    </w:tbl>
    <w:p w14:paraId="31077460">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482"/>
        <w:textAlignment w:val="auto"/>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14:paraId="2F337068">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w:t>
      </w:r>
      <w:r>
        <w:rPr>
          <w:rFonts w:hint="eastAsia" w:ascii="宋体" w:hAnsi="宋体" w:cs="宋体"/>
          <w:kern w:val="0"/>
          <w:sz w:val="24"/>
          <w:highlight w:val="none"/>
          <w:lang w:val="en-US" w:eastAsia="zh-CN"/>
        </w:rPr>
        <w:t>.</w:t>
      </w:r>
      <w:r>
        <w:rPr>
          <w:rFonts w:hint="eastAsia" w:ascii="宋体" w:hAnsi="宋体" w:cs="宋体"/>
          <w:color w:val="auto"/>
          <w:kern w:val="0"/>
          <w:sz w:val="24"/>
          <w:highlight w:val="none"/>
          <w:lang w:val="en-US" w:eastAsia="zh-CN"/>
        </w:rPr>
        <w:t>投标单位</w:t>
      </w:r>
      <w:r>
        <w:rPr>
          <w:rFonts w:hint="eastAsia" w:ascii="宋体" w:hAnsi="宋体" w:eastAsia="宋体" w:cs="宋体"/>
          <w:kern w:val="0"/>
          <w:sz w:val="24"/>
          <w:highlight w:val="none"/>
          <w:lang w:val="zh-CN"/>
        </w:rPr>
        <w:t>需按本表格式填写，不得自行更改。</w:t>
      </w:r>
    </w:p>
    <w:p w14:paraId="3901B1BF">
      <w:pPr>
        <w:spacing w:line="360" w:lineRule="auto"/>
        <w:ind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2</w:t>
      </w:r>
      <w:r>
        <w:rPr>
          <w:rFonts w:hint="eastAsia" w:ascii="宋体" w:hAnsi="宋体" w:cs="宋体"/>
          <w:kern w:val="0"/>
          <w:sz w:val="24"/>
          <w:highlight w:val="none"/>
          <w:lang w:val="en-US" w:eastAsia="zh-CN"/>
        </w:rPr>
        <w:t>.</w:t>
      </w:r>
      <w:r>
        <w:rPr>
          <w:rFonts w:hint="eastAsia" w:ascii="宋体" w:hAnsi="宋体" w:eastAsia="宋体" w:cs="宋体"/>
          <w:kern w:val="0"/>
          <w:sz w:val="24"/>
          <w:highlight w:val="none"/>
          <w:lang w:val="zh-CN"/>
        </w:rPr>
        <w:t>有关本项目实施所涉及的一切费用均计入报价。</w:t>
      </w:r>
      <w:r>
        <w:rPr>
          <w:rFonts w:hint="eastAsia" w:ascii="宋体" w:hAnsi="宋体" w:cs="宋体"/>
          <w:b/>
          <w:kern w:val="0"/>
          <w:sz w:val="24"/>
          <w:highlight w:val="none"/>
          <w:lang w:val="zh-CN"/>
        </w:rPr>
        <w:t>采购单位</w:t>
      </w:r>
      <w:r>
        <w:rPr>
          <w:rFonts w:hint="eastAsia" w:ascii="宋体" w:hAnsi="宋体" w:eastAsia="宋体" w:cs="宋体"/>
          <w:b/>
          <w:kern w:val="0"/>
          <w:sz w:val="24"/>
          <w:highlight w:val="none"/>
          <w:lang w:val="zh-CN"/>
        </w:rPr>
        <w:t>将以合同形式有偿取得货物或服务，不接受供应商给予的赠品、回扣或者与采购无关的其他商品、服务</w:t>
      </w:r>
      <w:r>
        <w:rPr>
          <w:rFonts w:hint="eastAsia" w:ascii="宋体" w:hAnsi="宋体" w:eastAsia="宋体" w:cs="宋体"/>
          <w:kern w:val="0"/>
          <w:sz w:val="24"/>
          <w:highlight w:val="none"/>
          <w:lang w:val="zh-CN"/>
        </w:rPr>
        <w:t>，</w:t>
      </w:r>
      <w:r>
        <w:rPr>
          <w:rFonts w:hint="eastAsia" w:ascii="宋体" w:hAnsi="宋体" w:eastAsia="宋体" w:cs="宋体"/>
          <w:b/>
          <w:kern w:val="0"/>
          <w:sz w:val="24"/>
          <w:highlight w:val="none"/>
          <w:lang w:val="zh-CN"/>
        </w:rPr>
        <w:t>不得出现“0元”“免费赠送”等形式的无偿报价，</w:t>
      </w:r>
      <w:r>
        <w:rPr>
          <w:rFonts w:hint="eastAsia" w:ascii="宋体" w:hAnsi="宋体" w:eastAsia="宋体" w:cs="宋体"/>
          <w:b/>
          <w:kern w:val="0"/>
          <w:sz w:val="24"/>
          <w:highlight w:val="none"/>
        </w:rPr>
        <w:t>否则视为</w:t>
      </w:r>
      <w:r>
        <w:rPr>
          <w:rFonts w:hint="eastAsia" w:ascii="宋体" w:hAnsi="宋体" w:eastAsia="宋体" w:cs="宋体"/>
          <w:b/>
          <w:kern w:val="0"/>
          <w:sz w:val="24"/>
          <w:highlight w:val="none"/>
          <w:lang w:val="en-US" w:eastAsia="zh-CN"/>
        </w:rPr>
        <w:t>询价</w:t>
      </w:r>
      <w:r>
        <w:rPr>
          <w:rFonts w:hint="eastAsia" w:ascii="宋体" w:hAnsi="宋体" w:eastAsia="宋体" w:cs="宋体"/>
          <w:b/>
          <w:sz w:val="24"/>
          <w:highlight w:val="none"/>
        </w:rPr>
        <w:t>响应文件含有</w:t>
      </w:r>
      <w:r>
        <w:rPr>
          <w:rFonts w:hint="eastAsia" w:ascii="宋体" w:hAnsi="宋体" w:cs="宋体"/>
          <w:b/>
          <w:sz w:val="24"/>
          <w:highlight w:val="none"/>
          <w:lang w:eastAsia="zh-CN"/>
        </w:rPr>
        <w:t>采购单位</w:t>
      </w:r>
      <w:r>
        <w:rPr>
          <w:rFonts w:hint="eastAsia" w:ascii="宋体" w:hAnsi="宋体" w:eastAsia="宋体" w:cs="宋体"/>
          <w:b/>
          <w:sz w:val="24"/>
          <w:highlight w:val="none"/>
        </w:rPr>
        <w:t>不能接受的附加条件的，投标无效</w:t>
      </w:r>
      <w:r>
        <w:rPr>
          <w:rFonts w:hint="eastAsia" w:ascii="宋体" w:hAnsi="宋体" w:eastAsia="宋体" w:cs="宋体"/>
          <w:b/>
          <w:kern w:val="0"/>
          <w:sz w:val="24"/>
          <w:highlight w:val="none"/>
          <w:lang w:val="zh-CN"/>
        </w:rPr>
        <w:t>。</w:t>
      </w:r>
    </w:p>
    <w:p w14:paraId="57B4AF74">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4</w:t>
      </w:r>
      <w:r>
        <w:rPr>
          <w:rFonts w:hint="eastAsia" w:ascii="宋体" w:hAnsi="宋体" w:cs="宋体"/>
          <w:kern w:val="0"/>
          <w:sz w:val="24"/>
          <w:highlight w:val="none"/>
          <w:lang w:val="en-US" w:eastAsia="zh-CN"/>
        </w:rPr>
        <w:t>.</w:t>
      </w:r>
      <w:r>
        <w:rPr>
          <w:rFonts w:hint="eastAsia" w:ascii="宋体" w:hAnsi="宋体" w:eastAsia="宋体" w:cs="宋体"/>
          <w:kern w:val="0"/>
          <w:sz w:val="24"/>
          <w:highlight w:val="none"/>
          <w:lang w:val="zh-CN"/>
        </w:rPr>
        <w:t>特别提示：采购机构将对项目名称和项目编号，</w:t>
      </w:r>
      <w:r>
        <w:rPr>
          <w:rFonts w:hint="eastAsia" w:ascii="宋体" w:hAnsi="宋体" w:cs="宋体"/>
          <w:kern w:val="0"/>
          <w:sz w:val="24"/>
          <w:highlight w:val="none"/>
          <w:lang w:val="zh-CN"/>
        </w:rPr>
        <w:t>中标单位</w:t>
      </w:r>
      <w:r>
        <w:rPr>
          <w:rFonts w:hint="eastAsia" w:ascii="宋体" w:hAnsi="宋体" w:eastAsia="宋体" w:cs="宋体"/>
          <w:kern w:val="0"/>
          <w:sz w:val="24"/>
          <w:highlight w:val="none"/>
          <w:lang w:val="zh-CN"/>
        </w:rPr>
        <w:t>名称、地址和中标金额，主要中标标的的名称、规格型号、数量、单价、服务要求等予以公示。</w:t>
      </w:r>
    </w:p>
    <w:p w14:paraId="67E305A0">
      <w:pPr>
        <w:snapToGrid w:val="0"/>
        <w:spacing w:line="360" w:lineRule="auto"/>
        <w:ind w:firstLine="480" w:firstLineChars="200"/>
        <w:jc w:val="left"/>
        <w:rPr>
          <w:rFonts w:hint="eastAsia" w:ascii="宋体" w:hAnsi="宋体" w:eastAsia="宋体" w:cs="宋体"/>
          <w:b/>
          <w:kern w:val="0"/>
          <w:sz w:val="24"/>
          <w:highlight w:val="none"/>
        </w:rPr>
      </w:pPr>
      <w:r>
        <w:rPr>
          <w:rFonts w:hint="eastAsia" w:ascii="宋体" w:hAnsi="宋体" w:eastAsia="宋体" w:cs="宋体"/>
          <w:kern w:val="0"/>
          <w:sz w:val="24"/>
          <w:szCs w:val="22"/>
          <w:highlight w:val="none"/>
          <w:lang w:val="zh-CN"/>
        </w:rPr>
        <w:t>5</w:t>
      </w:r>
      <w:r>
        <w:rPr>
          <w:rFonts w:hint="eastAsia" w:ascii="宋体" w:hAnsi="宋体" w:cs="宋体"/>
          <w:kern w:val="0"/>
          <w:sz w:val="24"/>
          <w:szCs w:val="22"/>
          <w:highlight w:val="none"/>
          <w:lang w:val="en-US" w:eastAsia="zh-CN"/>
        </w:rPr>
        <w:t>.</w:t>
      </w:r>
      <w:r>
        <w:rPr>
          <w:rFonts w:hint="eastAsia" w:ascii="宋体" w:hAnsi="宋体" w:eastAsia="宋体" w:cs="宋体"/>
          <w:kern w:val="0"/>
          <w:sz w:val="24"/>
          <w:highlight w:val="none"/>
          <w:lang w:val="zh-CN"/>
        </w:rPr>
        <w:t>符合竞争性</w:t>
      </w:r>
      <w:r>
        <w:rPr>
          <w:rFonts w:hint="eastAsia" w:ascii="宋体" w:hAnsi="宋体" w:eastAsia="宋体" w:cs="宋体"/>
          <w:kern w:val="0"/>
          <w:sz w:val="24"/>
          <w:highlight w:val="none"/>
          <w:lang w:val="en-US" w:eastAsia="zh-CN"/>
        </w:rPr>
        <w:t>询价</w:t>
      </w:r>
      <w:r>
        <w:rPr>
          <w:rFonts w:hint="eastAsia" w:ascii="宋体" w:hAnsi="宋体" w:eastAsia="宋体" w:cs="宋体"/>
          <w:kern w:val="0"/>
          <w:sz w:val="24"/>
          <w:highlight w:val="none"/>
          <w:lang w:val="zh-CN"/>
        </w:rPr>
        <w:t>文件中列明的可享受中小企业扶持政策的</w:t>
      </w:r>
      <w:r>
        <w:rPr>
          <w:rFonts w:hint="eastAsia" w:ascii="宋体" w:hAnsi="宋体" w:cs="宋体"/>
          <w:color w:val="auto"/>
          <w:kern w:val="0"/>
          <w:sz w:val="24"/>
          <w:highlight w:val="none"/>
          <w:lang w:val="en-US" w:eastAsia="zh-CN"/>
        </w:rPr>
        <w:t>投标单位</w:t>
      </w:r>
      <w:r>
        <w:rPr>
          <w:rFonts w:hint="eastAsia" w:ascii="宋体" w:hAnsi="宋体" w:eastAsia="宋体" w:cs="宋体"/>
          <w:kern w:val="0"/>
          <w:sz w:val="24"/>
          <w:highlight w:val="none"/>
          <w:lang w:val="zh-CN"/>
        </w:rPr>
        <w:t>，请填写中小企业声明函。注：供应商提供的中小企业声明函内容不实的，属于提供虚假材料谋取中标、成交，依照《中华人民共和国政府采购法》等国家有关规定追究相应责任。</w:t>
      </w:r>
    </w:p>
    <w:p w14:paraId="19F090E7">
      <w:pPr>
        <w:autoSpaceDE w:val="0"/>
        <w:autoSpaceDN w:val="0"/>
        <w:spacing w:line="360" w:lineRule="auto"/>
        <w:jc w:val="left"/>
        <w:rPr>
          <w:rFonts w:hint="eastAsia" w:ascii="宋体" w:hAnsi="宋体" w:eastAsia="宋体" w:cs="宋体"/>
          <w:kern w:val="0"/>
          <w:sz w:val="24"/>
          <w:highlight w:val="none"/>
          <w:lang w:val="zh-CN"/>
        </w:rPr>
      </w:pPr>
    </w:p>
    <w:p w14:paraId="25E76A38">
      <w:pPr>
        <w:spacing w:line="360" w:lineRule="auto"/>
        <w:ind w:left="5509" w:leftChars="2052" w:hanging="1200" w:hangingChars="500"/>
        <w:rPr>
          <w:rFonts w:hint="eastAsia" w:ascii="宋体" w:hAnsi="宋体" w:eastAsia="宋体" w:cs="宋体"/>
          <w:sz w:val="24"/>
        </w:rPr>
      </w:pPr>
      <w:r>
        <w:rPr>
          <w:rFonts w:hint="eastAsia" w:ascii="宋体" w:hAnsi="宋体" w:cs="宋体"/>
          <w:kern w:val="0"/>
          <w:sz w:val="24"/>
          <w:highlight w:val="none"/>
          <w:lang w:val="en-US" w:eastAsia="zh-CN"/>
        </w:rPr>
        <w:t xml:space="preserve">                                    </w:t>
      </w:r>
      <w:r>
        <w:rPr>
          <w:rFonts w:hint="eastAsia" w:ascii="宋体" w:hAnsi="宋体" w:cs="宋体"/>
          <w:sz w:val="24"/>
          <w:lang w:eastAsia="zh-CN"/>
        </w:rPr>
        <w:t>投标单位</w:t>
      </w:r>
      <w:r>
        <w:rPr>
          <w:rFonts w:hint="eastAsia" w:ascii="宋体" w:hAnsi="宋体" w:eastAsia="宋体" w:cs="宋体"/>
          <w:sz w:val="24"/>
        </w:rPr>
        <w:t>名称</w:t>
      </w:r>
      <w:r>
        <w:rPr>
          <w:rFonts w:hint="eastAsia" w:ascii="宋体" w:hAnsi="宋体" w:cs="宋体"/>
          <w:kern w:val="0"/>
          <w:sz w:val="24"/>
          <w:lang w:val="zh-CN"/>
        </w:rPr>
        <w:t>（</w:t>
      </w:r>
      <w:r>
        <w:rPr>
          <w:rFonts w:hint="eastAsia" w:ascii="宋体" w:hAnsi="宋体" w:cs="宋体"/>
          <w:kern w:val="0"/>
          <w:sz w:val="24"/>
          <w:lang w:val="en-US" w:eastAsia="zh-CN"/>
        </w:rPr>
        <w:t>盖章</w:t>
      </w:r>
      <w:r>
        <w:rPr>
          <w:rFonts w:hint="eastAsia" w:ascii="宋体" w:hAnsi="宋体" w:cs="宋体"/>
          <w:kern w:val="0"/>
          <w:sz w:val="24"/>
          <w:lang w:val="zh-CN"/>
        </w:rPr>
        <w:t>）</w:t>
      </w:r>
      <w:r>
        <w:rPr>
          <w:rFonts w:hint="eastAsia" w:ascii="宋体" w:hAnsi="宋体" w:eastAsia="宋体" w:cs="宋体"/>
          <w:sz w:val="24"/>
        </w:rPr>
        <w:t xml:space="preserve">：                          </w:t>
      </w:r>
    </w:p>
    <w:p w14:paraId="6145F070">
      <w:pPr>
        <w:spacing w:line="360" w:lineRule="auto"/>
        <w:jc w:val="center"/>
        <w:rPr>
          <w:rFonts w:hint="eastAsia" w:ascii="宋体" w:hAnsi="宋体" w:eastAsia="宋体" w:cs="宋体"/>
          <w:kern w:val="0"/>
          <w:sz w:val="24"/>
          <w:lang w:val="zh-CN"/>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日期：</w:t>
      </w:r>
    </w:p>
    <w:p w14:paraId="42CDD931">
      <w:pPr>
        <w:pStyle w:val="81"/>
        <w:ind w:left="0" w:leftChars="0" w:firstLine="0" w:firstLineChars="0"/>
        <w:rPr>
          <w:rFonts w:hint="eastAsia"/>
        </w:rPr>
      </w:pPr>
    </w:p>
    <w:p w14:paraId="763A5DA6">
      <w:pPr>
        <w:pStyle w:val="692"/>
        <w:keepNext w:val="0"/>
        <w:pageBreakBefore w:val="0"/>
        <w:tabs>
          <w:tab w:val="clear" w:pos="720"/>
        </w:tabs>
        <w:snapToGrid w:val="0"/>
        <w:spacing w:before="120" w:after="120"/>
        <w:ind w:firstLine="643"/>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kern w:val="2"/>
          <w:sz w:val="32"/>
          <w:szCs w:val="32"/>
          <w:lang w:val="en-US" w:eastAsia="zh-CN"/>
        </w:rPr>
        <w:t>二</w:t>
      </w:r>
      <w:r>
        <w:rPr>
          <w:rFonts w:hint="eastAsia" w:asciiTheme="minorEastAsia" w:hAnsiTheme="minorEastAsia" w:eastAsiaTheme="minorEastAsia" w:cstheme="minorEastAsia"/>
          <w:kern w:val="2"/>
          <w:sz w:val="32"/>
          <w:szCs w:val="32"/>
        </w:rPr>
        <w:t>、</w:t>
      </w:r>
      <w:r>
        <w:rPr>
          <w:rFonts w:hint="eastAsia" w:asciiTheme="minorEastAsia" w:hAnsiTheme="minorEastAsia" w:eastAsiaTheme="minorEastAsia" w:cstheme="minorEastAsia"/>
          <w:kern w:val="2"/>
          <w:sz w:val="32"/>
          <w:szCs w:val="32"/>
          <w:lang w:val="en-US" w:eastAsia="zh-CN"/>
        </w:rPr>
        <w:t>报价说明</w:t>
      </w:r>
      <w:r>
        <w:rPr>
          <w:rFonts w:hint="eastAsia" w:asciiTheme="minorEastAsia" w:hAnsiTheme="minorEastAsia" w:eastAsiaTheme="minorEastAsia" w:cstheme="minorEastAsia"/>
          <w:kern w:val="2"/>
          <w:sz w:val="32"/>
          <w:szCs w:val="32"/>
        </w:rPr>
        <w:t>（</w:t>
      </w:r>
      <w:r>
        <w:rPr>
          <w:rFonts w:hint="eastAsia" w:asciiTheme="minorEastAsia" w:hAnsiTheme="minorEastAsia" w:eastAsiaTheme="minorEastAsia" w:cstheme="minorEastAsia"/>
          <w:kern w:val="2"/>
          <w:sz w:val="32"/>
          <w:szCs w:val="32"/>
          <w:lang w:val="en-US" w:eastAsia="zh-CN"/>
        </w:rPr>
        <w:t>如有</w:t>
      </w:r>
      <w:r>
        <w:rPr>
          <w:rFonts w:hint="eastAsia" w:asciiTheme="minorEastAsia" w:hAnsiTheme="minorEastAsia" w:eastAsiaTheme="minorEastAsia" w:cstheme="minorEastAsia"/>
          <w:kern w:val="2"/>
          <w:sz w:val="32"/>
          <w:szCs w:val="32"/>
        </w:rPr>
        <w:t>）</w:t>
      </w:r>
    </w:p>
    <w:p w14:paraId="246B26B3">
      <w:pPr>
        <w:spacing w:line="360" w:lineRule="auto"/>
        <w:jc w:val="left"/>
        <w:rPr>
          <w:rFonts w:hint="eastAsia" w:asciiTheme="minorEastAsia" w:hAnsiTheme="minorEastAsia" w:eastAsiaTheme="minorEastAsia" w:cstheme="minorEastAsia"/>
          <w:b/>
          <w:sz w:val="32"/>
          <w:szCs w:val="18"/>
        </w:rPr>
      </w:pPr>
      <w:r>
        <w:rPr>
          <w:rFonts w:hint="eastAsia" w:asciiTheme="minorEastAsia" w:hAnsiTheme="minorEastAsia" w:eastAsiaTheme="minorEastAsia" w:cstheme="minorEastAsia"/>
          <w:b/>
          <w:sz w:val="32"/>
          <w:szCs w:val="18"/>
          <w:lang w:val="en-US" w:eastAsia="zh-CN"/>
        </w:rPr>
        <w:t xml:space="preserve">   若</w:t>
      </w:r>
      <w:r>
        <w:rPr>
          <w:rFonts w:hint="eastAsia" w:asciiTheme="minorEastAsia" w:hAnsiTheme="minorEastAsia" w:eastAsiaTheme="minorEastAsia" w:cstheme="minorEastAsia"/>
          <w:b/>
          <w:sz w:val="32"/>
          <w:szCs w:val="18"/>
          <w:lang w:eastAsia="zh-CN"/>
        </w:rPr>
        <w:t>投标单位</w:t>
      </w:r>
      <w:r>
        <w:rPr>
          <w:rFonts w:hint="eastAsia" w:asciiTheme="minorEastAsia" w:hAnsiTheme="minorEastAsia" w:eastAsiaTheme="minorEastAsia" w:cstheme="minorEastAsia"/>
          <w:b/>
          <w:sz w:val="32"/>
          <w:szCs w:val="18"/>
        </w:rPr>
        <w:t>填报的</w:t>
      </w:r>
      <w:r>
        <w:rPr>
          <w:rFonts w:hint="eastAsia" w:asciiTheme="minorEastAsia" w:hAnsiTheme="minorEastAsia" w:eastAsiaTheme="minorEastAsia" w:cstheme="minorEastAsia"/>
          <w:b/>
          <w:sz w:val="32"/>
          <w:szCs w:val="18"/>
          <w:lang w:val="en-US" w:eastAsia="zh-CN"/>
        </w:rPr>
        <w:t>报价</w:t>
      </w:r>
      <w:r>
        <w:rPr>
          <w:rFonts w:hint="eastAsia" w:asciiTheme="minorEastAsia" w:hAnsiTheme="minorEastAsia" w:eastAsiaTheme="minorEastAsia" w:cstheme="minorEastAsia"/>
          <w:b/>
          <w:sz w:val="32"/>
          <w:szCs w:val="18"/>
        </w:rPr>
        <w:t>在</w:t>
      </w:r>
      <w:r>
        <w:rPr>
          <w:rFonts w:hint="eastAsia" w:asciiTheme="minorEastAsia" w:hAnsiTheme="minorEastAsia" w:eastAsiaTheme="minorEastAsia" w:cstheme="minorEastAsia"/>
          <w:b/>
          <w:sz w:val="32"/>
          <w:szCs w:val="18"/>
          <w:lang w:val="en-US" w:eastAsia="zh-CN"/>
        </w:rPr>
        <w:t>10000元/年（</w:t>
      </w:r>
      <w:r>
        <w:rPr>
          <w:rFonts w:hint="eastAsia" w:asciiTheme="minorEastAsia" w:hAnsiTheme="minorEastAsia" w:eastAsiaTheme="minorEastAsia" w:cstheme="minorEastAsia"/>
          <w:b/>
          <w:sz w:val="32"/>
          <w:szCs w:val="18"/>
        </w:rPr>
        <w:t>含</w:t>
      </w:r>
      <w:r>
        <w:rPr>
          <w:rFonts w:hint="eastAsia" w:asciiTheme="minorEastAsia" w:hAnsiTheme="minorEastAsia" w:eastAsiaTheme="minorEastAsia" w:cstheme="minorEastAsia"/>
          <w:b/>
          <w:sz w:val="32"/>
          <w:szCs w:val="18"/>
          <w:lang w:eastAsia="zh-CN"/>
        </w:rPr>
        <w:t>）</w:t>
      </w:r>
      <w:r>
        <w:rPr>
          <w:rFonts w:hint="eastAsia" w:asciiTheme="minorEastAsia" w:hAnsiTheme="minorEastAsia" w:eastAsiaTheme="minorEastAsia" w:cstheme="minorEastAsia"/>
          <w:b/>
          <w:sz w:val="32"/>
          <w:szCs w:val="18"/>
        </w:rPr>
        <w:t>以下的，应当在报价文件中详细阐述不影响服务质量或者诚信履约的具体理由及依据</w:t>
      </w:r>
      <w:r>
        <w:rPr>
          <w:rFonts w:hint="eastAsia" w:asciiTheme="minorEastAsia" w:hAnsiTheme="minorEastAsia" w:eastAsiaTheme="minorEastAsia" w:cstheme="minorEastAsia"/>
          <w:b/>
          <w:sz w:val="32"/>
          <w:szCs w:val="18"/>
          <w:lang w:eastAsia="zh-CN"/>
        </w:rPr>
        <w:t>（</w:t>
      </w:r>
      <w:r>
        <w:rPr>
          <w:rFonts w:hint="eastAsia" w:asciiTheme="minorEastAsia" w:hAnsiTheme="minorEastAsia" w:eastAsiaTheme="minorEastAsia" w:cstheme="minorEastAsia"/>
          <w:b/>
          <w:sz w:val="32"/>
          <w:szCs w:val="18"/>
          <w:lang w:val="en-US" w:eastAsia="zh-CN"/>
        </w:rPr>
        <w:t>附成本明细表</w:t>
      </w:r>
      <w:r>
        <w:rPr>
          <w:rFonts w:hint="eastAsia" w:asciiTheme="minorEastAsia" w:hAnsiTheme="minorEastAsia" w:eastAsiaTheme="minorEastAsia" w:cstheme="minorEastAsia"/>
          <w:b/>
          <w:sz w:val="32"/>
          <w:szCs w:val="18"/>
          <w:lang w:eastAsia="zh-CN"/>
        </w:rPr>
        <w:t>）</w:t>
      </w:r>
      <w:r>
        <w:rPr>
          <w:rFonts w:hint="eastAsia" w:asciiTheme="minorEastAsia" w:hAnsiTheme="minorEastAsia" w:eastAsiaTheme="minorEastAsia" w:cstheme="minorEastAsia"/>
          <w:b/>
          <w:sz w:val="32"/>
          <w:szCs w:val="18"/>
        </w:rPr>
        <w:t>。</w:t>
      </w:r>
    </w:p>
    <w:p w14:paraId="4D55CF83">
      <w:pPr>
        <w:widowControl/>
        <w:snapToGrid w:val="0"/>
        <w:spacing w:line="360" w:lineRule="auto"/>
        <w:ind w:firstLine="480" w:firstLineChars="200"/>
        <w:jc w:val="left"/>
        <w:rPr>
          <w:rFonts w:hint="eastAsia" w:ascii="宋体" w:hAnsi="宋体" w:eastAsia="宋体" w:cs="宋体"/>
          <w:color w:val="000000"/>
          <w:kern w:val="0"/>
          <w:sz w:val="24"/>
          <w:szCs w:val="24"/>
        </w:rPr>
      </w:pPr>
    </w:p>
    <w:p w14:paraId="505A4274">
      <w:pPr>
        <w:pStyle w:val="27"/>
        <w:rPr>
          <w:rFonts w:hint="eastAsia" w:ascii="宋体" w:hAnsi="宋体" w:eastAsia="宋体" w:cs="宋体"/>
          <w:sz w:val="24"/>
          <w:szCs w:val="24"/>
        </w:rPr>
      </w:pPr>
    </w:p>
    <w:p w14:paraId="416EDFEC">
      <w:pPr>
        <w:rPr>
          <w:rFonts w:hint="eastAsia" w:ascii="宋体" w:hAnsi="宋体" w:eastAsia="宋体" w:cs="宋体"/>
          <w:sz w:val="24"/>
          <w:szCs w:val="24"/>
        </w:rPr>
      </w:pPr>
    </w:p>
    <w:p w14:paraId="5D3B4029">
      <w:pPr>
        <w:pStyle w:val="85"/>
        <w:rPr>
          <w:rFonts w:hint="eastAsia" w:ascii="宋体" w:hAnsi="宋体" w:eastAsia="宋体" w:cs="宋体"/>
          <w:sz w:val="24"/>
          <w:szCs w:val="24"/>
        </w:rPr>
      </w:pPr>
    </w:p>
    <w:p w14:paraId="1C94B230">
      <w:pPr>
        <w:pStyle w:val="85"/>
        <w:rPr>
          <w:rFonts w:hint="eastAsia" w:ascii="宋体" w:hAnsi="宋体" w:eastAsia="宋体" w:cs="宋体"/>
          <w:sz w:val="24"/>
          <w:szCs w:val="24"/>
        </w:rPr>
      </w:pPr>
    </w:p>
    <w:p w14:paraId="27BBEC8D">
      <w:pPr>
        <w:pStyle w:val="27"/>
        <w:ind w:left="0" w:leftChars="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14:paraId="2D653A5C">
      <w:pPr>
        <w:spacing w:line="360" w:lineRule="auto"/>
        <w:ind w:left="5509" w:leftChars="2052" w:hanging="1200" w:hangingChars="500"/>
        <w:rPr>
          <w:rFonts w:hint="eastAsia" w:ascii="宋体" w:hAnsi="宋体" w:eastAsia="宋体" w:cs="宋体"/>
          <w:sz w:val="24"/>
        </w:rPr>
      </w:pPr>
      <w:r>
        <w:rPr>
          <w:rFonts w:hint="eastAsia" w:ascii="宋体" w:hAnsi="宋体" w:eastAsia="宋体" w:cs="宋体"/>
          <w:kern w:val="0"/>
          <w:sz w:val="24"/>
          <w:lang w:val="en-US" w:eastAsia="zh-CN"/>
        </w:rPr>
        <w:t xml:space="preserve">                                              </w:t>
      </w:r>
      <w:r>
        <w:rPr>
          <w:rFonts w:hint="eastAsia" w:ascii="宋体" w:hAnsi="宋体" w:cs="宋体"/>
          <w:sz w:val="24"/>
          <w:lang w:eastAsia="zh-CN"/>
        </w:rPr>
        <w:t>投标单位</w:t>
      </w:r>
      <w:r>
        <w:rPr>
          <w:rFonts w:hint="eastAsia" w:ascii="宋体" w:hAnsi="宋体" w:eastAsia="宋体" w:cs="宋体"/>
          <w:sz w:val="24"/>
        </w:rPr>
        <w:t>名称</w:t>
      </w:r>
      <w:r>
        <w:rPr>
          <w:rFonts w:hint="eastAsia" w:ascii="宋体" w:hAnsi="宋体" w:cs="宋体"/>
          <w:kern w:val="0"/>
          <w:sz w:val="24"/>
          <w:lang w:val="zh-CN"/>
        </w:rPr>
        <w:t>（</w:t>
      </w:r>
      <w:r>
        <w:rPr>
          <w:rFonts w:hint="eastAsia" w:ascii="宋体" w:hAnsi="宋体" w:cs="宋体"/>
          <w:kern w:val="0"/>
          <w:sz w:val="24"/>
          <w:lang w:val="en-US" w:eastAsia="zh-CN"/>
        </w:rPr>
        <w:t>盖章</w:t>
      </w:r>
      <w:r>
        <w:rPr>
          <w:rFonts w:hint="eastAsia" w:ascii="宋体" w:hAnsi="宋体" w:cs="宋体"/>
          <w:kern w:val="0"/>
          <w:sz w:val="24"/>
          <w:lang w:val="zh-CN"/>
        </w:rPr>
        <w:t>）</w:t>
      </w:r>
      <w:r>
        <w:rPr>
          <w:rFonts w:hint="eastAsia" w:ascii="宋体" w:hAnsi="宋体" w:eastAsia="宋体" w:cs="宋体"/>
          <w:sz w:val="24"/>
        </w:rPr>
        <w:t xml:space="preserve">：                          </w:t>
      </w:r>
    </w:p>
    <w:p w14:paraId="2BBDE79E">
      <w:pPr>
        <w:spacing w:line="360" w:lineRule="auto"/>
        <w:jc w:val="center"/>
        <w:rPr>
          <w:rFonts w:hint="eastAsia" w:ascii="宋体" w:hAnsi="宋体" w:eastAsia="宋体" w:cs="宋体"/>
          <w:kern w:val="0"/>
          <w:sz w:val="24"/>
          <w:lang w:val="zh-CN"/>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日期：</w:t>
      </w:r>
    </w:p>
    <w:p w14:paraId="5EE9A2CC">
      <w:pPr>
        <w:pStyle w:val="28"/>
        <w:jc w:val="center"/>
        <w:rPr>
          <w:rFonts w:hint="eastAsia" w:ascii="宋体" w:hAnsi="宋体" w:eastAsia="宋体" w:cs="宋体"/>
          <w:kern w:val="0"/>
          <w:sz w:val="24"/>
          <w:highlight w:val="none"/>
        </w:rPr>
      </w:pPr>
    </w:p>
    <w:p w14:paraId="32980F55">
      <w:pPr>
        <w:spacing w:line="360" w:lineRule="auto"/>
        <w:jc w:val="center"/>
        <w:rPr>
          <w:rFonts w:hint="eastAsia" w:ascii="宋体" w:hAnsi="宋体" w:eastAsia="宋体" w:cs="宋体"/>
          <w:sz w:val="24"/>
        </w:rPr>
      </w:pPr>
      <w:r>
        <w:rPr>
          <w:rFonts w:hint="eastAsia" w:ascii="宋体" w:hAnsi="宋体" w:eastAsia="宋体" w:cs="宋体"/>
          <w:kern w:val="0"/>
          <w:sz w:val="24"/>
          <w:lang w:val="zh-CN"/>
        </w:rPr>
        <w:t xml:space="preserve">   </w:t>
      </w:r>
    </w:p>
    <w:p w14:paraId="783D4C0C">
      <w:pPr>
        <w:pStyle w:val="27"/>
        <w:ind w:left="0" w:leftChars="0"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p w14:paraId="3EA95005">
      <w:pPr>
        <w:spacing w:line="360" w:lineRule="auto"/>
        <w:ind w:right="420"/>
        <w:rPr>
          <w:rFonts w:hint="eastAsia" w:ascii="宋体" w:hAnsi="宋体" w:eastAsia="宋体" w:cs="宋体"/>
          <w:b/>
          <w:kern w:val="0"/>
          <w:sz w:val="36"/>
          <w:szCs w:val="36"/>
        </w:rPr>
      </w:pPr>
    </w:p>
    <w:p w14:paraId="1FA21CA3">
      <w:pPr>
        <w:pStyle w:val="85"/>
        <w:rPr>
          <w:rFonts w:hint="eastAsia" w:ascii="宋体" w:hAnsi="宋体" w:eastAsia="宋体" w:cs="宋体"/>
          <w:b/>
          <w:kern w:val="0"/>
          <w:sz w:val="36"/>
          <w:szCs w:val="36"/>
        </w:rPr>
      </w:pPr>
    </w:p>
    <w:p w14:paraId="31AE2D2B">
      <w:pPr>
        <w:pStyle w:val="85"/>
        <w:rPr>
          <w:rFonts w:hint="eastAsia" w:ascii="宋体" w:hAnsi="宋体" w:eastAsia="宋体" w:cs="宋体"/>
          <w:b/>
          <w:kern w:val="0"/>
          <w:sz w:val="36"/>
          <w:szCs w:val="36"/>
        </w:rPr>
      </w:pPr>
    </w:p>
    <w:p w14:paraId="52D11647">
      <w:pPr>
        <w:pStyle w:val="85"/>
        <w:rPr>
          <w:rFonts w:hint="eastAsia" w:ascii="宋体" w:hAnsi="宋体" w:eastAsia="宋体" w:cs="宋体"/>
          <w:b/>
          <w:kern w:val="0"/>
          <w:sz w:val="36"/>
          <w:szCs w:val="36"/>
        </w:rPr>
      </w:pPr>
    </w:p>
    <w:p w14:paraId="7AF59C0A">
      <w:pPr>
        <w:pStyle w:val="85"/>
        <w:rPr>
          <w:rFonts w:hint="eastAsia" w:ascii="宋体" w:hAnsi="宋体" w:eastAsia="宋体" w:cs="宋体"/>
          <w:b/>
          <w:kern w:val="0"/>
          <w:sz w:val="36"/>
          <w:szCs w:val="36"/>
        </w:rPr>
      </w:pPr>
    </w:p>
    <w:p w14:paraId="0C658771">
      <w:pPr>
        <w:pStyle w:val="85"/>
        <w:rPr>
          <w:rFonts w:hint="eastAsia" w:ascii="宋体" w:hAnsi="宋体" w:eastAsia="宋体" w:cs="宋体"/>
          <w:b/>
          <w:kern w:val="0"/>
          <w:sz w:val="36"/>
          <w:szCs w:val="36"/>
        </w:rPr>
      </w:pPr>
    </w:p>
    <w:p w14:paraId="79F60171">
      <w:pPr>
        <w:spacing w:line="360" w:lineRule="auto"/>
        <w:ind w:right="420"/>
        <w:rPr>
          <w:rFonts w:hint="eastAsia" w:ascii="宋体" w:hAnsi="宋体" w:eastAsia="宋体" w:cs="宋体"/>
          <w:b/>
          <w:kern w:val="0"/>
          <w:sz w:val="36"/>
          <w:szCs w:val="36"/>
        </w:rPr>
      </w:pPr>
    </w:p>
    <w:p w14:paraId="7405C596">
      <w:pPr>
        <w:spacing w:line="360" w:lineRule="auto"/>
        <w:rPr>
          <w:rFonts w:hint="eastAsia" w:ascii="宋体" w:hAnsi="宋体" w:eastAsia="宋体" w:cs="宋体"/>
          <w:bCs/>
          <w:sz w:val="24"/>
        </w:rPr>
      </w:pPr>
    </w:p>
    <w:sectPr>
      <w:headerReference r:id="rId6" w:type="first"/>
      <w:footerReference r:id="rId9" w:type="first"/>
      <w:headerReference r:id="rId5" w:type="default"/>
      <w:footerReference r:id="rId7" w:type="default"/>
      <w:footerReference r:id="rId8" w:type="even"/>
      <w:pgSz w:w="11906" w:h="16838"/>
      <w:pgMar w:top="1276" w:right="1587" w:bottom="1247" w:left="1587"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2360A">
    <w:pPr>
      <w:pStyle w:val="4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9F7B6">
                          <w:pPr>
                            <w:pStyle w:val="4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69F7B6">
                    <w:pPr>
                      <w:pStyle w:val="4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D7D20">
    <w:pPr>
      <w:pStyle w:val="43"/>
      <w:rPr>
        <w:rFonts w:ascii="仿宋_GB2312" w:eastAsia="仿宋_GB2312"/>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4786C4">
                          <w:pPr>
                            <w:pStyle w:val="4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4786C4">
                    <w:pPr>
                      <w:pStyle w:val="4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02B93">
    <w:pPr>
      <w:pStyle w:val="43"/>
      <w:framePr w:wrap="around" w:vAnchor="text" w:hAnchor="margin" w:xAlign="right" w:y="1"/>
      <w:rPr>
        <w:rStyle w:val="73"/>
      </w:rPr>
    </w:pPr>
    <w:r>
      <w:fldChar w:fldCharType="begin"/>
    </w:r>
    <w:r>
      <w:rPr>
        <w:rStyle w:val="73"/>
      </w:rPr>
      <w:instrText xml:space="preserve">PAGE  </w:instrText>
    </w:r>
    <w:r>
      <w:fldChar w:fldCharType="end"/>
    </w:r>
  </w:p>
  <w:p w14:paraId="3698EB6F">
    <w:pPr>
      <w:pStyle w:val="4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B31B3">
    <w:pPr>
      <w:pStyle w:val="43"/>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0DEBBA">
                          <w:pPr>
                            <w:pStyle w:val="4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A0DEBBA">
                    <w:pPr>
                      <w:pStyle w:val="4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06289">
    <w:pPr>
      <w:ind w:left="0" w:leftChars="0" w:firstLine="0" w:firstLineChars="0"/>
      <w:jc w:val="left"/>
      <w:rPr>
        <w:rFonts w:ascii="仿宋_GB2312" w:eastAsia="仿宋_GB2312"/>
        <w:b w:val="0"/>
        <w:i/>
        <w:sz w:val="18"/>
        <w:u w:val="single"/>
        <w:lang w:val="en-US"/>
      </w:rPr>
    </w:pPr>
    <w:r>
      <w:rPr>
        <w:rFonts w:hint="eastAsia" w:ascii="宋体" w:hAnsi="宋体" w:cs="宋体"/>
        <w:b w:val="0"/>
        <w:bCs w:val="0"/>
        <w:sz w:val="22"/>
        <w:szCs w:val="22"/>
        <w:u w:val="single"/>
        <w:lang w:val="en-US" w:eastAsia="zh-CN"/>
      </w:rPr>
      <w:t>2024年桐庐县青少年宫消防维保单位采购项目</w:t>
    </w:r>
    <w:r>
      <w:rPr>
        <w:rFonts w:hint="eastAsia" w:ascii="宋体" w:hAnsi="宋体" w:eastAsia="宋体" w:cs="宋体"/>
        <w:b w:val="0"/>
        <w:bCs w:val="0"/>
        <w:sz w:val="22"/>
        <w:szCs w:val="22"/>
        <w:u w:val="single"/>
        <w:lang w:val="en-US" w:eastAsia="zh-CN"/>
      </w:rPr>
      <w:t xml:space="preserve">       </w:t>
    </w:r>
    <w:r>
      <w:rPr>
        <w:rFonts w:hint="eastAsia" w:ascii="宋体" w:hAnsi="宋体" w:cs="宋体"/>
        <w:b w:val="0"/>
        <w:bCs w:val="0"/>
        <w:sz w:val="22"/>
        <w:szCs w:val="22"/>
        <w:u w:val="single"/>
        <w:lang w:val="en-US" w:eastAsia="zh-CN"/>
      </w:rPr>
      <w:t xml:space="preserve">               </w:t>
    </w:r>
    <w:r>
      <w:rPr>
        <w:rFonts w:hint="eastAsia" w:ascii="宋体" w:hAnsi="宋体" w:eastAsia="宋体" w:cs="宋体"/>
        <w:b w:val="0"/>
        <w:bCs w:val="0"/>
        <w:sz w:val="22"/>
        <w:szCs w:val="22"/>
        <w:u w:val="single"/>
        <w:lang w:val="en-US" w:eastAsia="zh-CN"/>
      </w:rPr>
      <w:t xml:space="preserve">      【询价</w:t>
    </w:r>
    <w:r>
      <w:rPr>
        <w:rFonts w:hint="eastAsia" w:ascii="宋体" w:hAnsi="宋体" w:cs="宋体"/>
        <w:b w:val="0"/>
        <w:bCs w:val="0"/>
        <w:sz w:val="22"/>
        <w:szCs w:val="22"/>
        <w:u w:val="single"/>
        <w:lang w:val="en-US" w:eastAsia="zh-CN"/>
      </w:rPr>
      <w:t>文件</w:t>
    </w:r>
    <w:r>
      <w:rPr>
        <w:rFonts w:hint="eastAsia" w:ascii="宋体" w:hAnsi="宋体" w:eastAsia="宋体" w:cs="宋体"/>
        <w:b w:val="0"/>
        <w:bCs w:val="0"/>
        <w:sz w:val="22"/>
        <w:szCs w:val="22"/>
        <w:u w:val="single"/>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BE3B4">
    <w:pPr>
      <w:ind w:left="0" w:leftChars="0" w:firstLine="0" w:firstLineChars="0"/>
      <w:jc w:val="left"/>
      <w:rPr>
        <w:u w:val="single"/>
      </w:rPr>
    </w:pPr>
    <w:r>
      <w:rPr>
        <w:rFonts w:hint="eastAsia" w:ascii="宋体" w:hAnsi="宋体" w:cs="宋体"/>
        <w:b w:val="0"/>
        <w:bCs w:val="0"/>
        <w:sz w:val="22"/>
        <w:szCs w:val="22"/>
        <w:u w:val="single"/>
        <w:lang w:val="en-US" w:eastAsia="zh-CN"/>
      </w:rPr>
      <w:t>2024年桐庐县青少年宫消防维保单位采购项目</w:t>
    </w:r>
    <w:r>
      <w:rPr>
        <w:rFonts w:hint="eastAsia" w:ascii="宋体" w:hAnsi="宋体" w:eastAsia="宋体" w:cs="宋体"/>
        <w:b w:val="0"/>
        <w:bCs w:val="0"/>
        <w:sz w:val="22"/>
        <w:szCs w:val="22"/>
        <w:u w:val="single"/>
        <w:lang w:val="en-US" w:eastAsia="zh-CN"/>
      </w:rPr>
      <w:t xml:space="preserve">       </w:t>
    </w:r>
    <w:r>
      <w:rPr>
        <w:rFonts w:hint="eastAsia" w:ascii="宋体" w:hAnsi="宋体" w:cs="宋体"/>
        <w:b w:val="0"/>
        <w:bCs w:val="0"/>
        <w:sz w:val="22"/>
        <w:szCs w:val="22"/>
        <w:u w:val="single"/>
        <w:lang w:val="en-US" w:eastAsia="zh-CN"/>
      </w:rPr>
      <w:t xml:space="preserve">               </w:t>
    </w:r>
    <w:r>
      <w:rPr>
        <w:rFonts w:hint="eastAsia" w:ascii="宋体" w:hAnsi="宋体" w:eastAsia="宋体" w:cs="宋体"/>
        <w:b w:val="0"/>
        <w:bCs w:val="0"/>
        <w:sz w:val="22"/>
        <w:szCs w:val="22"/>
        <w:u w:val="single"/>
        <w:lang w:val="en-US" w:eastAsia="zh-CN"/>
      </w:rPr>
      <w:t xml:space="preserve">      【询价</w:t>
    </w:r>
    <w:r>
      <w:rPr>
        <w:rFonts w:hint="eastAsia" w:ascii="宋体" w:hAnsi="宋体" w:cs="宋体"/>
        <w:b w:val="0"/>
        <w:bCs w:val="0"/>
        <w:sz w:val="22"/>
        <w:szCs w:val="22"/>
        <w:u w:val="single"/>
        <w:lang w:val="en-US" w:eastAsia="zh-CN"/>
      </w:rPr>
      <w:t>文件</w:t>
    </w:r>
    <w:r>
      <w:rPr>
        <w:rFonts w:hint="eastAsia" w:ascii="宋体" w:hAnsi="宋体" w:eastAsia="宋体" w:cs="宋体"/>
        <w:b w:val="0"/>
        <w:bCs w:val="0"/>
        <w:sz w:val="22"/>
        <w:szCs w:val="22"/>
        <w:u w:val="single"/>
        <w:lang w:val="en-US"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6F688">
    <w:pPr>
      <w:ind w:left="0" w:leftChars="0" w:firstLine="0" w:firstLineChars="0"/>
      <w:jc w:val="left"/>
      <w:rPr>
        <w:u w:val="single"/>
      </w:rPr>
    </w:pPr>
    <w:r>
      <w:rPr>
        <w:rFonts w:hint="eastAsia" w:ascii="宋体" w:hAnsi="宋体" w:cs="宋体"/>
        <w:b w:val="0"/>
        <w:bCs w:val="0"/>
        <w:sz w:val="22"/>
        <w:szCs w:val="22"/>
        <w:u w:val="single"/>
        <w:lang w:val="en-US" w:eastAsia="zh-CN"/>
      </w:rPr>
      <w:t>2024年桐庐县青少年宫消防维保单位采购项目</w:t>
    </w:r>
    <w:r>
      <w:rPr>
        <w:rFonts w:hint="eastAsia" w:ascii="宋体" w:hAnsi="宋体" w:eastAsia="宋体" w:cs="宋体"/>
        <w:b w:val="0"/>
        <w:bCs w:val="0"/>
        <w:sz w:val="22"/>
        <w:szCs w:val="22"/>
        <w:u w:val="single"/>
        <w:lang w:val="en-US" w:eastAsia="zh-CN"/>
      </w:rPr>
      <w:t xml:space="preserve">       </w:t>
    </w:r>
    <w:r>
      <w:rPr>
        <w:rFonts w:hint="eastAsia" w:ascii="宋体" w:hAnsi="宋体" w:cs="宋体"/>
        <w:b w:val="0"/>
        <w:bCs w:val="0"/>
        <w:sz w:val="22"/>
        <w:szCs w:val="22"/>
        <w:u w:val="single"/>
        <w:lang w:val="en-US" w:eastAsia="zh-CN"/>
      </w:rPr>
      <w:t xml:space="preserve">               </w:t>
    </w:r>
    <w:r>
      <w:rPr>
        <w:rFonts w:hint="eastAsia" w:ascii="宋体" w:hAnsi="宋体" w:eastAsia="宋体" w:cs="宋体"/>
        <w:b w:val="0"/>
        <w:bCs w:val="0"/>
        <w:sz w:val="22"/>
        <w:szCs w:val="22"/>
        <w:u w:val="single"/>
        <w:lang w:val="en-US" w:eastAsia="zh-CN"/>
      </w:rPr>
      <w:t xml:space="preserve">      【询价</w:t>
    </w:r>
    <w:r>
      <w:rPr>
        <w:rFonts w:hint="eastAsia" w:ascii="宋体" w:hAnsi="宋体" w:cs="宋体"/>
        <w:b w:val="0"/>
        <w:bCs w:val="0"/>
        <w:sz w:val="22"/>
        <w:szCs w:val="22"/>
        <w:u w:val="single"/>
        <w:lang w:val="en-US" w:eastAsia="zh-CN"/>
      </w:rPr>
      <w:t>文件</w:t>
    </w:r>
    <w:r>
      <w:rPr>
        <w:rFonts w:hint="eastAsia" w:ascii="宋体" w:hAnsi="宋体" w:eastAsia="宋体" w:cs="宋体"/>
        <w:b w:val="0"/>
        <w:bCs w:val="0"/>
        <w:sz w:val="22"/>
        <w:szCs w:val="22"/>
        <w:u w:val="single"/>
        <w:lang w:val="en-US"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B25B3A"/>
    <w:multiLevelType w:val="singleLevel"/>
    <w:tmpl w:val="E9B25B3A"/>
    <w:lvl w:ilvl="0" w:tentative="0">
      <w:start w:val="1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YWY3NjZmNDZhMGY3ZGU3MWJkNzEyNDQ2MjllZG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256"/>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49E3"/>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563"/>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AEB"/>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95070"/>
    <w:rsid w:val="017B5688"/>
    <w:rsid w:val="017C0A60"/>
    <w:rsid w:val="019F7441"/>
    <w:rsid w:val="01B37585"/>
    <w:rsid w:val="01D37272"/>
    <w:rsid w:val="01D55165"/>
    <w:rsid w:val="01DF6BF8"/>
    <w:rsid w:val="01EC2C57"/>
    <w:rsid w:val="02184C85"/>
    <w:rsid w:val="026B2E25"/>
    <w:rsid w:val="02785724"/>
    <w:rsid w:val="02824D4D"/>
    <w:rsid w:val="028440C8"/>
    <w:rsid w:val="02D0730E"/>
    <w:rsid w:val="02DC4B10"/>
    <w:rsid w:val="02DD76CE"/>
    <w:rsid w:val="02E62FD5"/>
    <w:rsid w:val="02F36323"/>
    <w:rsid w:val="02F5619C"/>
    <w:rsid w:val="03192A63"/>
    <w:rsid w:val="0326446A"/>
    <w:rsid w:val="032D5555"/>
    <w:rsid w:val="03327FC8"/>
    <w:rsid w:val="036164FF"/>
    <w:rsid w:val="036634D2"/>
    <w:rsid w:val="03B7227C"/>
    <w:rsid w:val="03CF3FFD"/>
    <w:rsid w:val="03D746CC"/>
    <w:rsid w:val="03DD35E4"/>
    <w:rsid w:val="04076900"/>
    <w:rsid w:val="041A5A3B"/>
    <w:rsid w:val="04207E21"/>
    <w:rsid w:val="042311BA"/>
    <w:rsid w:val="042B157A"/>
    <w:rsid w:val="04553F6E"/>
    <w:rsid w:val="046A467A"/>
    <w:rsid w:val="046B5540"/>
    <w:rsid w:val="048F763B"/>
    <w:rsid w:val="049D029E"/>
    <w:rsid w:val="049F330E"/>
    <w:rsid w:val="04A66578"/>
    <w:rsid w:val="04AA775C"/>
    <w:rsid w:val="04AF1889"/>
    <w:rsid w:val="04BA64C7"/>
    <w:rsid w:val="04BF3ADE"/>
    <w:rsid w:val="04F33787"/>
    <w:rsid w:val="04F66F48"/>
    <w:rsid w:val="04FC088E"/>
    <w:rsid w:val="04FC43EA"/>
    <w:rsid w:val="05155543"/>
    <w:rsid w:val="05251E14"/>
    <w:rsid w:val="057C19CF"/>
    <w:rsid w:val="05852631"/>
    <w:rsid w:val="05A16594"/>
    <w:rsid w:val="05A7762D"/>
    <w:rsid w:val="05C0366A"/>
    <w:rsid w:val="06035C4C"/>
    <w:rsid w:val="060E5941"/>
    <w:rsid w:val="06110369"/>
    <w:rsid w:val="06110FAF"/>
    <w:rsid w:val="062A122C"/>
    <w:rsid w:val="062C52C2"/>
    <w:rsid w:val="06493CA7"/>
    <w:rsid w:val="064A4EB4"/>
    <w:rsid w:val="065A6178"/>
    <w:rsid w:val="066F1CF3"/>
    <w:rsid w:val="0680729D"/>
    <w:rsid w:val="06930BB8"/>
    <w:rsid w:val="06994F63"/>
    <w:rsid w:val="06A06159"/>
    <w:rsid w:val="06A765D7"/>
    <w:rsid w:val="06D6791D"/>
    <w:rsid w:val="070F0039"/>
    <w:rsid w:val="07245D42"/>
    <w:rsid w:val="07264C62"/>
    <w:rsid w:val="07376938"/>
    <w:rsid w:val="075C16CF"/>
    <w:rsid w:val="07750484"/>
    <w:rsid w:val="0779354C"/>
    <w:rsid w:val="078057A6"/>
    <w:rsid w:val="07886BEA"/>
    <w:rsid w:val="079254DA"/>
    <w:rsid w:val="0797664C"/>
    <w:rsid w:val="07A42B46"/>
    <w:rsid w:val="07AD40C1"/>
    <w:rsid w:val="07AE5035"/>
    <w:rsid w:val="07B74F40"/>
    <w:rsid w:val="07BF29A6"/>
    <w:rsid w:val="08061376"/>
    <w:rsid w:val="081B727D"/>
    <w:rsid w:val="082A74C0"/>
    <w:rsid w:val="08452D77"/>
    <w:rsid w:val="08587F02"/>
    <w:rsid w:val="086401F8"/>
    <w:rsid w:val="08751CAA"/>
    <w:rsid w:val="087E4C40"/>
    <w:rsid w:val="0887615A"/>
    <w:rsid w:val="08AC25CB"/>
    <w:rsid w:val="08BD0334"/>
    <w:rsid w:val="08CE609D"/>
    <w:rsid w:val="08D66AD6"/>
    <w:rsid w:val="08DA33A3"/>
    <w:rsid w:val="08DD4532"/>
    <w:rsid w:val="08E753B1"/>
    <w:rsid w:val="08E80F13"/>
    <w:rsid w:val="08F161BC"/>
    <w:rsid w:val="09335624"/>
    <w:rsid w:val="093922A3"/>
    <w:rsid w:val="0944690F"/>
    <w:rsid w:val="09535675"/>
    <w:rsid w:val="095577E7"/>
    <w:rsid w:val="095F057D"/>
    <w:rsid w:val="09642282"/>
    <w:rsid w:val="09733572"/>
    <w:rsid w:val="09772C16"/>
    <w:rsid w:val="098353B5"/>
    <w:rsid w:val="099A2423"/>
    <w:rsid w:val="09A92330"/>
    <w:rsid w:val="09B06B87"/>
    <w:rsid w:val="09C13146"/>
    <w:rsid w:val="09C86BD0"/>
    <w:rsid w:val="09CF47C3"/>
    <w:rsid w:val="09D92F4C"/>
    <w:rsid w:val="09E04166"/>
    <w:rsid w:val="0A1C0718"/>
    <w:rsid w:val="0A3E7710"/>
    <w:rsid w:val="0A5B7E63"/>
    <w:rsid w:val="0A5E16A3"/>
    <w:rsid w:val="0A7D421F"/>
    <w:rsid w:val="0AA374A5"/>
    <w:rsid w:val="0AAB7649"/>
    <w:rsid w:val="0ABC5606"/>
    <w:rsid w:val="0ADA148D"/>
    <w:rsid w:val="0ADD081A"/>
    <w:rsid w:val="0AEC7A9E"/>
    <w:rsid w:val="0B0B35D9"/>
    <w:rsid w:val="0B0C35A5"/>
    <w:rsid w:val="0B1C18DA"/>
    <w:rsid w:val="0B2226D0"/>
    <w:rsid w:val="0B266665"/>
    <w:rsid w:val="0B30404E"/>
    <w:rsid w:val="0B470389"/>
    <w:rsid w:val="0B4C6C14"/>
    <w:rsid w:val="0B631A88"/>
    <w:rsid w:val="0B683D45"/>
    <w:rsid w:val="0B7F3F11"/>
    <w:rsid w:val="0B860EB1"/>
    <w:rsid w:val="0B884417"/>
    <w:rsid w:val="0B93537C"/>
    <w:rsid w:val="0BA310F0"/>
    <w:rsid w:val="0BB023D2"/>
    <w:rsid w:val="0BB93035"/>
    <w:rsid w:val="0BBC48D3"/>
    <w:rsid w:val="0BD47E6F"/>
    <w:rsid w:val="0BED0F30"/>
    <w:rsid w:val="0BF6188C"/>
    <w:rsid w:val="0BF73C91"/>
    <w:rsid w:val="0C170175"/>
    <w:rsid w:val="0C2661F0"/>
    <w:rsid w:val="0C571A41"/>
    <w:rsid w:val="0C5C1171"/>
    <w:rsid w:val="0C5E1CBC"/>
    <w:rsid w:val="0C615B50"/>
    <w:rsid w:val="0C743400"/>
    <w:rsid w:val="0C756A08"/>
    <w:rsid w:val="0C8445DA"/>
    <w:rsid w:val="0C87121B"/>
    <w:rsid w:val="0CAF4438"/>
    <w:rsid w:val="0CC007F7"/>
    <w:rsid w:val="0CE642FD"/>
    <w:rsid w:val="0CFB767D"/>
    <w:rsid w:val="0CFE707A"/>
    <w:rsid w:val="0D026C5D"/>
    <w:rsid w:val="0D063BDA"/>
    <w:rsid w:val="0D08375F"/>
    <w:rsid w:val="0D184CFB"/>
    <w:rsid w:val="0D1D5845"/>
    <w:rsid w:val="0D4A7419"/>
    <w:rsid w:val="0D5174EC"/>
    <w:rsid w:val="0D5C636E"/>
    <w:rsid w:val="0D827401"/>
    <w:rsid w:val="0D837D9E"/>
    <w:rsid w:val="0D84094E"/>
    <w:rsid w:val="0D8A00E9"/>
    <w:rsid w:val="0D8C5A89"/>
    <w:rsid w:val="0D8D589E"/>
    <w:rsid w:val="0D9C676A"/>
    <w:rsid w:val="0DA01C73"/>
    <w:rsid w:val="0DAE649D"/>
    <w:rsid w:val="0DD63300"/>
    <w:rsid w:val="0DED6FC6"/>
    <w:rsid w:val="0DF26712"/>
    <w:rsid w:val="0DF50604"/>
    <w:rsid w:val="0DF702FE"/>
    <w:rsid w:val="0DF83B57"/>
    <w:rsid w:val="0DFA5B87"/>
    <w:rsid w:val="0E010CC3"/>
    <w:rsid w:val="0E060E51"/>
    <w:rsid w:val="0E344BF5"/>
    <w:rsid w:val="0E3C7F4D"/>
    <w:rsid w:val="0E5604B2"/>
    <w:rsid w:val="0E6D5D79"/>
    <w:rsid w:val="0E9D0089"/>
    <w:rsid w:val="0EAF4BC3"/>
    <w:rsid w:val="0EB21FBD"/>
    <w:rsid w:val="0EB803EE"/>
    <w:rsid w:val="0EE7435D"/>
    <w:rsid w:val="0EF94D4B"/>
    <w:rsid w:val="0F206487"/>
    <w:rsid w:val="0F3A0931"/>
    <w:rsid w:val="0F4958DC"/>
    <w:rsid w:val="0F515DF7"/>
    <w:rsid w:val="0F596BA8"/>
    <w:rsid w:val="0F6248D2"/>
    <w:rsid w:val="0F693536"/>
    <w:rsid w:val="0F7B0511"/>
    <w:rsid w:val="0F7B76D9"/>
    <w:rsid w:val="0F815CC0"/>
    <w:rsid w:val="0F816ACD"/>
    <w:rsid w:val="0F8B2F3A"/>
    <w:rsid w:val="0F9832DB"/>
    <w:rsid w:val="0FBF3FD2"/>
    <w:rsid w:val="0FBF7FF3"/>
    <w:rsid w:val="0FCE2E27"/>
    <w:rsid w:val="0FD06A15"/>
    <w:rsid w:val="0FFE44EA"/>
    <w:rsid w:val="101A2510"/>
    <w:rsid w:val="10646583"/>
    <w:rsid w:val="10647CCA"/>
    <w:rsid w:val="10741C20"/>
    <w:rsid w:val="107C2883"/>
    <w:rsid w:val="107D4B15"/>
    <w:rsid w:val="108856CC"/>
    <w:rsid w:val="108A3C80"/>
    <w:rsid w:val="10C26171"/>
    <w:rsid w:val="10CF32FA"/>
    <w:rsid w:val="10E37188"/>
    <w:rsid w:val="10E943BC"/>
    <w:rsid w:val="10F33360"/>
    <w:rsid w:val="10FC16EA"/>
    <w:rsid w:val="110F1D40"/>
    <w:rsid w:val="111F1EC1"/>
    <w:rsid w:val="11266F33"/>
    <w:rsid w:val="11432BE8"/>
    <w:rsid w:val="11832D17"/>
    <w:rsid w:val="118963A1"/>
    <w:rsid w:val="118B3818"/>
    <w:rsid w:val="119D0D03"/>
    <w:rsid w:val="11B62611"/>
    <w:rsid w:val="11C6522A"/>
    <w:rsid w:val="11E104CC"/>
    <w:rsid w:val="11E20309"/>
    <w:rsid w:val="11FE3E97"/>
    <w:rsid w:val="12255233"/>
    <w:rsid w:val="12530213"/>
    <w:rsid w:val="12753A2E"/>
    <w:rsid w:val="127723A9"/>
    <w:rsid w:val="12862074"/>
    <w:rsid w:val="12883966"/>
    <w:rsid w:val="129E45B4"/>
    <w:rsid w:val="12C14EC5"/>
    <w:rsid w:val="12C54CAD"/>
    <w:rsid w:val="12D81596"/>
    <w:rsid w:val="12D9220E"/>
    <w:rsid w:val="12EF558E"/>
    <w:rsid w:val="13051255"/>
    <w:rsid w:val="13072A44"/>
    <w:rsid w:val="134A6197"/>
    <w:rsid w:val="134E6759"/>
    <w:rsid w:val="13510784"/>
    <w:rsid w:val="135F4BE2"/>
    <w:rsid w:val="13622204"/>
    <w:rsid w:val="139B1A0A"/>
    <w:rsid w:val="139D148E"/>
    <w:rsid w:val="139D25C7"/>
    <w:rsid w:val="13B61687"/>
    <w:rsid w:val="13BF3CE4"/>
    <w:rsid w:val="13D604FC"/>
    <w:rsid w:val="13D824C6"/>
    <w:rsid w:val="13E421FA"/>
    <w:rsid w:val="13F866C4"/>
    <w:rsid w:val="1404150D"/>
    <w:rsid w:val="141008D8"/>
    <w:rsid w:val="14125FE6"/>
    <w:rsid w:val="14522278"/>
    <w:rsid w:val="146D17C7"/>
    <w:rsid w:val="146D271E"/>
    <w:rsid w:val="14795A57"/>
    <w:rsid w:val="14982588"/>
    <w:rsid w:val="149A59CD"/>
    <w:rsid w:val="149A5AD9"/>
    <w:rsid w:val="14A7619D"/>
    <w:rsid w:val="14BF374C"/>
    <w:rsid w:val="14D94748"/>
    <w:rsid w:val="150536C3"/>
    <w:rsid w:val="150C1963"/>
    <w:rsid w:val="151447A0"/>
    <w:rsid w:val="154A6454"/>
    <w:rsid w:val="15762120"/>
    <w:rsid w:val="157E0E4B"/>
    <w:rsid w:val="158226E9"/>
    <w:rsid w:val="15C745A0"/>
    <w:rsid w:val="15FF01DE"/>
    <w:rsid w:val="161E1B56"/>
    <w:rsid w:val="16337E88"/>
    <w:rsid w:val="165A5414"/>
    <w:rsid w:val="16905D94"/>
    <w:rsid w:val="1695644C"/>
    <w:rsid w:val="1699418F"/>
    <w:rsid w:val="16A8729C"/>
    <w:rsid w:val="16B33777"/>
    <w:rsid w:val="16BC70A7"/>
    <w:rsid w:val="16C6339E"/>
    <w:rsid w:val="16CB4564"/>
    <w:rsid w:val="16D056D6"/>
    <w:rsid w:val="171E4694"/>
    <w:rsid w:val="172F2D79"/>
    <w:rsid w:val="1735378C"/>
    <w:rsid w:val="17410382"/>
    <w:rsid w:val="17455CE8"/>
    <w:rsid w:val="17557BEF"/>
    <w:rsid w:val="17654071"/>
    <w:rsid w:val="176F3141"/>
    <w:rsid w:val="17C35426"/>
    <w:rsid w:val="17D349C1"/>
    <w:rsid w:val="18041ADC"/>
    <w:rsid w:val="181831EF"/>
    <w:rsid w:val="182C4B8E"/>
    <w:rsid w:val="1830729E"/>
    <w:rsid w:val="18562BF8"/>
    <w:rsid w:val="185A5BA0"/>
    <w:rsid w:val="1870062C"/>
    <w:rsid w:val="18817102"/>
    <w:rsid w:val="18830A15"/>
    <w:rsid w:val="18852B28"/>
    <w:rsid w:val="188B5321"/>
    <w:rsid w:val="18CE3258"/>
    <w:rsid w:val="18ED2570"/>
    <w:rsid w:val="18F112AB"/>
    <w:rsid w:val="190909D0"/>
    <w:rsid w:val="191E097B"/>
    <w:rsid w:val="19235F91"/>
    <w:rsid w:val="19502AFF"/>
    <w:rsid w:val="196C6D3F"/>
    <w:rsid w:val="196D0FD0"/>
    <w:rsid w:val="19932372"/>
    <w:rsid w:val="19A20DD5"/>
    <w:rsid w:val="19AE03F1"/>
    <w:rsid w:val="19B94B48"/>
    <w:rsid w:val="19CA72DF"/>
    <w:rsid w:val="19CC03D7"/>
    <w:rsid w:val="19DC4392"/>
    <w:rsid w:val="19EA2F53"/>
    <w:rsid w:val="1A071A03"/>
    <w:rsid w:val="1A0F5328"/>
    <w:rsid w:val="1A1F16AE"/>
    <w:rsid w:val="1A3B5C77"/>
    <w:rsid w:val="1A872550"/>
    <w:rsid w:val="1A984BAD"/>
    <w:rsid w:val="1AB8220E"/>
    <w:rsid w:val="1AD75285"/>
    <w:rsid w:val="1AE4166C"/>
    <w:rsid w:val="1AF06CFB"/>
    <w:rsid w:val="1AF11B8D"/>
    <w:rsid w:val="1B0842E1"/>
    <w:rsid w:val="1B11359C"/>
    <w:rsid w:val="1B18764C"/>
    <w:rsid w:val="1B2A271F"/>
    <w:rsid w:val="1B522B5E"/>
    <w:rsid w:val="1B530544"/>
    <w:rsid w:val="1B713184"/>
    <w:rsid w:val="1B882EE0"/>
    <w:rsid w:val="1B9C027D"/>
    <w:rsid w:val="1BA062F2"/>
    <w:rsid w:val="1BA209CF"/>
    <w:rsid w:val="1BB4777D"/>
    <w:rsid w:val="1BCA303C"/>
    <w:rsid w:val="1BD75AB8"/>
    <w:rsid w:val="1C0459C2"/>
    <w:rsid w:val="1C1B3B4A"/>
    <w:rsid w:val="1C285ADE"/>
    <w:rsid w:val="1C556DAA"/>
    <w:rsid w:val="1C88086E"/>
    <w:rsid w:val="1CAC6131"/>
    <w:rsid w:val="1CCF6FD7"/>
    <w:rsid w:val="1CD56276"/>
    <w:rsid w:val="1D045CB7"/>
    <w:rsid w:val="1D0C583E"/>
    <w:rsid w:val="1D1E3640"/>
    <w:rsid w:val="1D266CE1"/>
    <w:rsid w:val="1D3963AF"/>
    <w:rsid w:val="1D6A673C"/>
    <w:rsid w:val="1D9247AE"/>
    <w:rsid w:val="1DA33B45"/>
    <w:rsid w:val="1DAA14F9"/>
    <w:rsid w:val="1DB567EC"/>
    <w:rsid w:val="1DC867E7"/>
    <w:rsid w:val="1DDE7065"/>
    <w:rsid w:val="1DE008F5"/>
    <w:rsid w:val="1DF51A98"/>
    <w:rsid w:val="1DFC4AFA"/>
    <w:rsid w:val="1E317121"/>
    <w:rsid w:val="1E3D060F"/>
    <w:rsid w:val="1E3F7D2E"/>
    <w:rsid w:val="1E4134E4"/>
    <w:rsid w:val="1E4C49BC"/>
    <w:rsid w:val="1E5062B3"/>
    <w:rsid w:val="1E523514"/>
    <w:rsid w:val="1E641526"/>
    <w:rsid w:val="1E714A66"/>
    <w:rsid w:val="1E773191"/>
    <w:rsid w:val="1E802593"/>
    <w:rsid w:val="1E9532EC"/>
    <w:rsid w:val="1EA703CC"/>
    <w:rsid w:val="1EB7330C"/>
    <w:rsid w:val="1ED65854"/>
    <w:rsid w:val="1EF83A1C"/>
    <w:rsid w:val="1F0A0FF3"/>
    <w:rsid w:val="1F5771FF"/>
    <w:rsid w:val="1F882FF2"/>
    <w:rsid w:val="1FA26BC5"/>
    <w:rsid w:val="1FB21E1D"/>
    <w:rsid w:val="1FB637C5"/>
    <w:rsid w:val="1FC61D6D"/>
    <w:rsid w:val="1FE868A9"/>
    <w:rsid w:val="1FED748F"/>
    <w:rsid w:val="20034907"/>
    <w:rsid w:val="20173E4B"/>
    <w:rsid w:val="20390790"/>
    <w:rsid w:val="203C6879"/>
    <w:rsid w:val="204C29DE"/>
    <w:rsid w:val="204E48BC"/>
    <w:rsid w:val="208921B3"/>
    <w:rsid w:val="20973DEB"/>
    <w:rsid w:val="209D487B"/>
    <w:rsid w:val="20B147CB"/>
    <w:rsid w:val="20B26522"/>
    <w:rsid w:val="20B44310"/>
    <w:rsid w:val="20CE0ED9"/>
    <w:rsid w:val="211116EB"/>
    <w:rsid w:val="21132D8F"/>
    <w:rsid w:val="21240AF9"/>
    <w:rsid w:val="214E3DC8"/>
    <w:rsid w:val="216022A2"/>
    <w:rsid w:val="216133FC"/>
    <w:rsid w:val="218A3860"/>
    <w:rsid w:val="218F0D9C"/>
    <w:rsid w:val="21D56769"/>
    <w:rsid w:val="21E52EF3"/>
    <w:rsid w:val="21F04E7F"/>
    <w:rsid w:val="21F973AF"/>
    <w:rsid w:val="21FB5D7B"/>
    <w:rsid w:val="21FC7CC7"/>
    <w:rsid w:val="220B1C3D"/>
    <w:rsid w:val="221D1D20"/>
    <w:rsid w:val="22334A87"/>
    <w:rsid w:val="2283491A"/>
    <w:rsid w:val="228D26CE"/>
    <w:rsid w:val="22B20386"/>
    <w:rsid w:val="22BE6801"/>
    <w:rsid w:val="230841CA"/>
    <w:rsid w:val="232F19D7"/>
    <w:rsid w:val="233500BF"/>
    <w:rsid w:val="23377FF7"/>
    <w:rsid w:val="2351194D"/>
    <w:rsid w:val="236B425F"/>
    <w:rsid w:val="23836192"/>
    <w:rsid w:val="23901F29"/>
    <w:rsid w:val="23977CA8"/>
    <w:rsid w:val="239C0061"/>
    <w:rsid w:val="23A203FB"/>
    <w:rsid w:val="23B908A4"/>
    <w:rsid w:val="23D4412A"/>
    <w:rsid w:val="23E95BEF"/>
    <w:rsid w:val="23F247D0"/>
    <w:rsid w:val="23FD0064"/>
    <w:rsid w:val="242332EA"/>
    <w:rsid w:val="242E1C8E"/>
    <w:rsid w:val="24354370"/>
    <w:rsid w:val="24376272"/>
    <w:rsid w:val="245375B0"/>
    <w:rsid w:val="24551420"/>
    <w:rsid w:val="24642C0A"/>
    <w:rsid w:val="24650DB2"/>
    <w:rsid w:val="246F6C27"/>
    <w:rsid w:val="2480073C"/>
    <w:rsid w:val="24AA3A0B"/>
    <w:rsid w:val="24B22173"/>
    <w:rsid w:val="24B44889"/>
    <w:rsid w:val="24B95AD9"/>
    <w:rsid w:val="24BE24DA"/>
    <w:rsid w:val="24CF5825"/>
    <w:rsid w:val="24D663E6"/>
    <w:rsid w:val="24D77F2B"/>
    <w:rsid w:val="24EB4489"/>
    <w:rsid w:val="24FB7DC2"/>
    <w:rsid w:val="25297F3A"/>
    <w:rsid w:val="25386F3A"/>
    <w:rsid w:val="25387269"/>
    <w:rsid w:val="254B2B35"/>
    <w:rsid w:val="2584600A"/>
    <w:rsid w:val="258B00E2"/>
    <w:rsid w:val="25A917A6"/>
    <w:rsid w:val="25B85CB3"/>
    <w:rsid w:val="25BE27CC"/>
    <w:rsid w:val="25CD5C03"/>
    <w:rsid w:val="25DC4098"/>
    <w:rsid w:val="25E940BF"/>
    <w:rsid w:val="25F74A5C"/>
    <w:rsid w:val="2628662C"/>
    <w:rsid w:val="262D45DE"/>
    <w:rsid w:val="2650413E"/>
    <w:rsid w:val="26690F40"/>
    <w:rsid w:val="26797B39"/>
    <w:rsid w:val="269A360B"/>
    <w:rsid w:val="26A53EF9"/>
    <w:rsid w:val="26A94201"/>
    <w:rsid w:val="26AC274F"/>
    <w:rsid w:val="26B73C09"/>
    <w:rsid w:val="27044A29"/>
    <w:rsid w:val="271D34C8"/>
    <w:rsid w:val="27223D2C"/>
    <w:rsid w:val="276142BF"/>
    <w:rsid w:val="27783712"/>
    <w:rsid w:val="27907362"/>
    <w:rsid w:val="27D86AE1"/>
    <w:rsid w:val="280E42B1"/>
    <w:rsid w:val="281573ED"/>
    <w:rsid w:val="28237D5C"/>
    <w:rsid w:val="28333E1D"/>
    <w:rsid w:val="28454BD6"/>
    <w:rsid w:val="28455253"/>
    <w:rsid w:val="2849353B"/>
    <w:rsid w:val="28551971"/>
    <w:rsid w:val="285B1C53"/>
    <w:rsid w:val="287120F5"/>
    <w:rsid w:val="289F7086"/>
    <w:rsid w:val="28AA3FD9"/>
    <w:rsid w:val="28C32028"/>
    <w:rsid w:val="28CC490F"/>
    <w:rsid w:val="28DE40AA"/>
    <w:rsid w:val="29120773"/>
    <w:rsid w:val="29345E77"/>
    <w:rsid w:val="29361D11"/>
    <w:rsid w:val="294C65AD"/>
    <w:rsid w:val="29806583"/>
    <w:rsid w:val="298B0020"/>
    <w:rsid w:val="298B3C4C"/>
    <w:rsid w:val="299C12A2"/>
    <w:rsid w:val="29F26D24"/>
    <w:rsid w:val="2A01224B"/>
    <w:rsid w:val="2A0E2346"/>
    <w:rsid w:val="2A15033F"/>
    <w:rsid w:val="2A1662C1"/>
    <w:rsid w:val="2A172511"/>
    <w:rsid w:val="2A1C7367"/>
    <w:rsid w:val="2A2815FA"/>
    <w:rsid w:val="2A446189"/>
    <w:rsid w:val="2A4E4E38"/>
    <w:rsid w:val="2A583EB9"/>
    <w:rsid w:val="2A6D6092"/>
    <w:rsid w:val="2A741495"/>
    <w:rsid w:val="2A7D76B4"/>
    <w:rsid w:val="2B147E30"/>
    <w:rsid w:val="2B395AE8"/>
    <w:rsid w:val="2B437463"/>
    <w:rsid w:val="2B5A1BB1"/>
    <w:rsid w:val="2B65068C"/>
    <w:rsid w:val="2B6C37C8"/>
    <w:rsid w:val="2B746B21"/>
    <w:rsid w:val="2B7807EE"/>
    <w:rsid w:val="2B8251BD"/>
    <w:rsid w:val="2BB313F7"/>
    <w:rsid w:val="2BBF00EC"/>
    <w:rsid w:val="2BC2788C"/>
    <w:rsid w:val="2BC37CFD"/>
    <w:rsid w:val="2BC52ED8"/>
    <w:rsid w:val="2BC81492"/>
    <w:rsid w:val="2BD5237F"/>
    <w:rsid w:val="2BE536CE"/>
    <w:rsid w:val="2BE758D9"/>
    <w:rsid w:val="2BF33EE9"/>
    <w:rsid w:val="2BF437BD"/>
    <w:rsid w:val="2C025EDA"/>
    <w:rsid w:val="2C09049E"/>
    <w:rsid w:val="2C0A653C"/>
    <w:rsid w:val="2C191F85"/>
    <w:rsid w:val="2C336F38"/>
    <w:rsid w:val="2C484235"/>
    <w:rsid w:val="2C66290D"/>
    <w:rsid w:val="2C8B7674"/>
    <w:rsid w:val="2CBF3DCB"/>
    <w:rsid w:val="2CCB09C2"/>
    <w:rsid w:val="2CE455E0"/>
    <w:rsid w:val="2CE82D6F"/>
    <w:rsid w:val="2CED0939"/>
    <w:rsid w:val="2D0068BE"/>
    <w:rsid w:val="2D157E8F"/>
    <w:rsid w:val="2D2F71A3"/>
    <w:rsid w:val="2D343236"/>
    <w:rsid w:val="2DC05AFF"/>
    <w:rsid w:val="2DD15014"/>
    <w:rsid w:val="2DD85145"/>
    <w:rsid w:val="2DF72DE4"/>
    <w:rsid w:val="2E0220AF"/>
    <w:rsid w:val="2E0E0B66"/>
    <w:rsid w:val="2E4A28D6"/>
    <w:rsid w:val="2E4B082A"/>
    <w:rsid w:val="2E552C39"/>
    <w:rsid w:val="2E5B32CF"/>
    <w:rsid w:val="2E5D4E86"/>
    <w:rsid w:val="2E5D790B"/>
    <w:rsid w:val="2E894691"/>
    <w:rsid w:val="2E9A3C18"/>
    <w:rsid w:val="2EBB0FEE"/>
    <w:rsid w:val="2EC63002"/>
    <w:rsid w:val="2ED37F04"/>
    <w:rsid w:val="2EF610D7"/>
    <w:rsid w:val="2EF7784D"/>
    <w:rsid w:val="2EFE0BDB"/>
    <w:rsid w:val="2F0A6B38"/>
    <w:rsid w:val="2F46319A"/>
    <w:rsid w:val="2F4B4E90"/>
    <w:rsid w:val="2F7D2448"/>
    <w:rsid w:val="2F927575"/>
    <w:rsid w:val="2F946CCB"/>
    <w:rsid w:val="2FA15A0A"/>
    <w:rsid w:val="2FD25781"/>
    <w:rsid w:val="2FDE4398"/>
    <w:rsid w:val="2FEE50F3"/>
    <w:rsid w:val="2FFD7934"/>
    <w:rsid w:val="30136908"/>
    <w:rsid w:val="30161F54"/>
    <w:rsid w:val="30733ACD"/>
    <w:rsid w:val="30765682"/>
    <w:rsid w:val="308570DA"/>
    <w:rsid w:val="308C3862"/>
    <w:rsid w:val="309379D8"/>
    <w:rsid w:val="30A270F7"/>
    <w:rsid w:val="30DF1478"/>
    <w:rsid w:val="30EC586F"/>
    <w:rsid w:val="30EF2388"/>
    <w:rsid w:val="30FB4392"/>
    <w:rsid w:val="30FF50DE"/>
    <w:rsid w:val="3152520E"/>
    <w:rsid w:val="31796C3F"/>
    <w:rsid w:val="317E6003"/>
    <w:rsid w:val="319C6071"/>
    <w:rsid w:val="31AC537E"/>
    <w:rsid w:val="31E3679B"/>
    <w:rsid w:val="31E732FD"/>
    <w:rsid w:val="31FD161E"/>
    <w:rsid w:val="32052280"/>
    <w:rsid w:val="32053B45"/>
    <w:rsid w:val="32517576"/>
    <w:rsid w:val="32A55811"/>
    <w:rsid w:val="32BE5C2C"/>
    <w:rsid w:val="32CD6692"/>
    <w:rsid w:val="32DF49F1"/>
    <w:rsid w:val="32FB6478"/>
    <w:rsid w:val="3321100A"/>
    <w:rsid w:val="33233306"/>
    <w:rsid w:val="33263B3F"/>
    <w:rsid w:val="336963EB"/>
    <w:rsid w:val="33816EEB"/>
    <w:rsid w:val="33BB353F"/>
    <w:rsid w:val="33D44600"/>
    <w:rsid w:val="33E74334"/>
    <w:rsid w:val="33EB55CD"/>
    <w:rsid w:val="33EC4C02"/>
    <w:rsid w:val="340D2360"/>
    <w:rsid w:val="3410665D"/>
    <w:rsid w:val="34211214"/>
    <w:rsid w:val="34290102"/>
    <w:rsid w:val="342E63AB"/>
    <w:rsid w:val="34390907"/>
    <w:rsid w:val="348222AE"/>
    <w:rsid w:val="34950E68"/>
    <w:rsid w:val="34986E94"/>
    <w:rsid w:val="34AA710F"/>
    <w:rsid w:val="34AF62C9"/>
    <w:rsid w:val="34CB4388"/>
    <w:rsid w:val="34FA6E12"/>
    <w:rsid w:val="35223149"/>
    <w:rsid w:val="355E0625"/>
    <w:rsid w:val="357E0CC8"/>
    <w:rsid w:val="35847960"/>
    <w:rsid w:val="358D5588"/>
    <w:rsid w:val="35AC6578"/>
    <w:rsid w:val="35BC359E"/>
    <w:rsid w:val="35CF507F"/>
    <w:rsid w:val="35FA5E74"/>
    <w:rsid w:val="35FC7A86"/>
    <w:rsid w:val="360A3E4F"/>
    <w:rsid w:val="36112950"/>
    <w:rsid w:val="363867EE"/>
    <w:rsid w:val="363A3B40"/>
    <w:rsid w:val="364340DF"/>
    <w:rsid w:val="365302AE"/>
    <w:rsid w:val="36607A0A"/>
    <w:rsid w:val="366E227C"/>
    <w:rsid w:val="366F2E0D"/>
    <w:rsid w:val="367B6A5C"/>
    <w:rsid w:val="367E6AA5"/>
    <w:rsid w:val="368A369C"/>
    <w:rsid w:val="36914A2B"/>
    <w:rsid w:val="36941E25"/>
    <w:rsid w:val="369B693B"/>
    <w:rsid w:val="36A52284"/>
    <w:rsid w:val="36A74ADA"/>
    <w:rsid w:val="36AD60D5"/>
    <w:rsid w:val="36AF1DCF"/>
    <w:rsid w:val="36B224F9"/>
    <w:rsid w:val="36CE17DB"/>
    <w:rsid w:val="36CE3589"/>
    <w:rsid w:val="36EC0CC9"/>
    <w:rsid w:val="373F410B"/>
    <w:rsid w:val="37865C12"/>
    <w:rsid w:val="37BF1123"/>
    <w:rsid w:val="37D3697D"/>
    <w:rsid w:val="37EE7094"/>
    <w:rsid w:val="37F54B45"/>
    <w:rsid w:val="37FB65FF"/>
    <w:rsid w:val="380134EA"/>
    <w:rsid w:val="380C6BC4"/>
    <w:rsid w:val="38296C89"/>
    <w:rsid w:val="383002EB"/>
    <w:rsid w:val="383218F5"/>
    <w:rsid w:val="38586797"/>
    <w:rsid w:val="388A34DF"/>
    <w:rsid w:val="389B56ED"/>
    <w:rsid w:val="38AF1198"/>
    <w:rsid w:val="38BC0149"/>
    <w:rsid w:val="38D87D1C"/>
    <w:rsid w:val="38DF08F3"/>
    <w:rsid w:val="38E250CA"/>
    <w:rsid w:val="38F1355F"/>
    <w:rsid w:val="3914549F"/>
    <w:rsid w:val="391D07F7"/>
    <w:rsid w:val="39513FFD"/>
    <w:rsid w:val="39636459"/>
    <w:rsid w:val="39657AA9"/>
    <w:rsid w:val="396B7F6C"/>
    <w:rsid w:val="399931A4"/>
    <w:rsid w:val="39B051C8"/>
    <w:rsid w:val="39B417A9"/>
    <w:rsid w:val="39C3314D"/>
    <w:rsid w:val="39DD14FA"/>
    <w:rsid w:val="39FC5695"/>
    <w:rsid w:val="39FF7EFD"/>
    <w:rsid w:val="3A006D8E"/>
    <w:rsid w:val="3A3651E5"/>
    <w:rsid w:val="3A4B4EF0"/>
    <w:rsid w:val="3A661D2A"/>
    <w:rsid w:val="3A744481"/>
    <w:rsid w:val="3A8C7BEF"/>
    <w:rsid w:val="3A906246"/>
    <w:rsid w:val="3AB900AC"/>
    <w:rsid w:val="3AE35129"/>
    <w:rsid w:val="3AFB6916"/>
    <w:rsid w:val="3B091033"/>
    <w:rsid w:val="3B0C28D2"/>
    <w:rsid w:val="3B2349B7"/>
    <w:rsid w:val="3B616CFF"/>
    <w:rsid w:val="3B6259F6"/>
    <w:rsid w:val="3B673668"/>
    <w:rsid w:val="3B6B584A"/>
    <w:rsid w:val="3B8D4537"/>
    <w:rsid w:val="3B976654"/>
    <w:rsid w:val="3BA945C4"/>
    <w:rsid w:val="3BAC7C11"/>
    <w:rsid w:val="3BB0325D"/>
    <w:rsid w:val="3BB05953"/>
    <w:rsid w:val="3BC01EFC"/>
    <w:rsid w:val="3BCA786A"/>
    <w:rsid w:val="3BD31E2F"/>
    <w:rsid w:val="3BF15831"/>
    <w:rsid w:val="3C105946"/>
    <w:rsid w:val="3C1D466B"/>
    <w:rsid w:val="3C290CAE"/>
    <w:rsid w:val="3C471448"/>
    <w:rsid w:val="3C483E0D"/>
    <w:rsid w:val="3C5F759A"/>
    <w:rsid w:val="3C601127"/>
    <w:rsid w:val="3C6C525A"/>
    <w:rsid w:val="3CC05722"/>
    <w:rsid w:val="3CCE23CB"/>
    <w:rsid w:val="3CD17D17"/>
    <w:rsid w:val="3CE955AC"/>
    <w:rsid w:val="3CF36D8F"/>
    <w:rsid w:val="3CFB49AC"/>
    <w:rsid w:val="3D1E257B"/>
    <w:rsid w:val="3D3C7F39"/>
    <w:rsid w:val="3D404AB5"/>
    <w:rsid w:val="3D440F09"/>
    <w:rsid w:val="3D4504A0"/>
    <w:rsid w:val="3D5567B2"/>
    <w:rsid w:val="3D8734BB"/>
    <w:rsid w:val="3D8C47B0"/>
    <w:rsid w:val="3D9A11D4"/>
    <w:rsid w:val="3DA16D89"/>
    <w:rsid w:val="3DA364BE"/>
    <w:rsid w:val="3DD84CED"/>
    <w:rsid w:val="3DDF42CD"/>
    <w:rsid w:val="3DE041CB"/>
    <w:rsid w:val="3DE9514C"/>
    <w:rsid w:val="3DFA3C43"/>
    <w:rsid w:val="3E0D48F6"/>
    <w:rsid w:val="3E164C1F"/>
    <w:rsid w:val="3E1868B4"/>
    <w:rsid w:val="3E23240C"/>
    <w:rsid w:val="3E377251"/>
    <w:rsid w:val="3E3D0FF4"/>
    <w:rsid w:val="3E42664B"/>
    <w:rsid w:val="3E5A7334"/>
    <w:rsid w:val="3E602588"/>
    <w:rsid w:val="3E7B5D6B"/>
    <w:rsid w:val="3E843E66"/>
    <w:rsid w:val="3E8A0FA4"/>
    <w:rsid w:val="3E8F51FE"/>
    <w:rsid w:val="3E926F87"/>
    <w:rsid w:val="3E9A59DE"/>
    <w:rsid w:val="3EAF4836"/>
    <w:rsid w:val="3EC33DFA"/>
    <w:rsid w:val="3F00274D"/>
    <w:rsid w:val="3F060E16"/>
    <w:rsid w:val="3F1D1096"/>
    <w:rsid w:val="3F2F0234"/>
    <w:rsid w:val="3F3D74FE"/>
    <w:rsid w:val="3F6363FE"/>
    <w:rsid w:val="3F6C1B91"/>
    <w:rsid w:val="3F6F1681"/>
    <w:rsid w:val="3F756B8F"/>
    <w:rsid w:val="3F7722E4"/>
    <w:rsid w:val="3F7E235D"/>
    <w:rsid w:val="3F95482B"/>
    <w:rsid w:val="3F9B4224"/>
    <w:rsid w:val="3FA23805"/>
    <w:rsid w:val="3FBB3AC4"/>
    <w:rsid w:val="3FCA68B7"/>
    <w:rsid w:val="3FD356A2"/>
    <w:rsid w:val="3FE47979"/>
    <w:rsid w:val="3FE85C73"/>
    <w:rsid w:val="3FF60A0E"/>
    <w:rsid w:val="3FFA53EF"/>
    <w:rsid w:val="3FFF47B3"/>
    <w:rsid w:val="400E3EEE"/>
    <w:rsid w:val="4019356B"/>
    <w:rsid w:val="402F7891"/>
    <w:rsid w:val="40592157"/>
    <w:rsid w:val="406E1CAE"/>
    <w:rsid w:val="40A0133A"/>
    <w:rsid w:val="40A059FA"/>
    <w:rsid w:val="40A745F0"/>
    <w:rsid w:val="40C31A53"/>
    <w:rsid w:val="40C41559"/>
    <w:rsid w:val="40CB7F22"/>
    <w:rsid w:val="40FF545D"/>
    <w:rsid w:val="410067C8"/>
    <w:rsid w:val="41083B3B"/>
    <w:rsid w:val="41120516"/>
    <w:rsid w:val="41263FC1"/>
    <w:rsid w:val="41287D39"/>
    <w:rsid w:val="41395AA3"/>
    <w:rsid w:val="4151405B"/>
    <w:rsid w:val="415A4AB8"/>
    <w:rsid w:val="41855FD7"/>
    <w:rsid w:val="418F0D2A"/>
    <w:rsid w:val="41D01505"/>
    <w:rsid w:val="41D1217F"/>
    <w:rsid w:val="41DD28D2"/>
    <w:rsid w:val="423C1CEE"/>
    <w:rsid w:val="42474939"/>
    <w:rsid w:val="424C3C57"/>
    <w:rsid w:val="42613FF3"/>
    <w:rsid w:val="42660D96"/>
    <w:rsid w:val="428634E2"/>
    <w:rsid w:val="428667D2"/>
    <w:rsid w:val="42CD1CE0"/>
    <w:rsid w:val="42E1381E"/>
    <w:rsid w:val="42ED6459"/>
    <w:rsid w:val="42FE58DD"/>
    <w:rsid w:val="431247FD"/>
    <w:rsid w:val="43174B3D"/>
    <w:rsid w:val="434B790E"/>
    <w:rsid w:val="4360274F"/>
    <w:rsid w:val="43617533"/>
    <w:rsid w:val="436A288B"/>
    <w:rsid w:val="43977AB6"/>
    <w:rsid w:val="43A3342B"/>
    <w:rsid w:val="43C006FD"/>
    <w:rsid w:val="43C77C27"/>
    <w:rsid w:val="43D30430"/>
    <w:rsid w:val="43DE09EE"/>
    <w:rsid w:val="43DE2931"/>
    <w:rsid w:val="44002FAD"/>
    <w:rsid w:val="441668C0"/>
    <w:rsid w:val="441D4154"/>
    <w:rsid w:val="4420185A"/>
    <w:rsid w:val="44550E45"/>
    <w:rsid w:val="44557097"/>
    <w:rsid w:val="445A52AB"/>
    <w:rsid w:val="446430D6"/>
    <w:rsid w:val="44705C7F"/>
    <w:rsid w:val="447E484C"/>
    <w:rsid w:val="449101DD"/>
    <w:rsid w:val="44BA6EFA"/>
    <w:rsid w:val="44DE1391"/>
    <w:rsid w:val="44E64193"/>
    <w:rsid w:val="45126D36"/>
    <w:rsid w:val="451B225C"/>
    <w:rsid w:val="452410C9"/>
    <w:rsid w:val="45285D6D"/>
    <w:rsid w:val="45317DFB"/>
    <w:rsid w:val="45401AF6"/>
    <w:rsid w:val="456D3CE4"/>
    <w:rsid w:val="4579042C"/>
    <w:rsid w:val="457F0571"/>
    <w:rsid w:val="45851176"/>
    <w:rsid w:val="458A0FC3"/>
    <w:rsid w:val="45927E77"/>
    <w:rsid w:val="45966FDA"/>
    <w:rsid w:val="45B77250"/>
    <w:rsid w:val="45C63B94"/>
    <w:rsid w:val="45C66304"/>
    <w:rsid w:val="460E7DA5"/>
    <w:rsid w:val="46236D21"/>
    <w:rsid w:val="46364CA7"/>
    <w:rsid w:val="46422483"/>
    <w:rsid w:val="4659254A"/>
    <w:rsid w:val="465B0637"/>
    <w:rsid w:val="465E3F0D"/>
    <w:rsid w:val="466A16E6"/>
    <w:rsid w:val="46893F2B"/>
    <w:rsid w:val="46AD665C"/>
    <w:rsid w:val="46C4686E"/>
    <w:rsid w:val="46D63D94"/>
    <w:rsid w:val="46F030A7"/>
    <w:rsid w:val="47170634"/>
    <w:rsid w:val="473016F6"/>
    <w:rsid w:val="4743767B"/>
    <w:rsid w:val="475C24EB"/>
    <w:rsid w:val="477B778F"/>
    <w:rsid w:val="478203EC"/>
    <w:rsid w:val="47A224C5"/>
    <w:rsid w:val="47B025FA"/>
    <w:rsid w:val="47B73BC5"/>
    <w:rsid w:val="4809698F"/>
    <w:rsid w:val="4811697D"/>
    <w:rsid w:val="481608EC"/>
    <w:rsid w:val="481C21F7"/>
    <w:rsid w:val="48272AF9"/>
    <w:rsid w:val="48435459"/>
    <w:rsid w:val="4847319B"/>
    <w:rsid w:val="48616869"/>
    <w:rsid w:val="487A3E25"/>
    <w:rsid w:val="487B0BAC"/>
    <w:rsid w:val="488B5503"/>
    <w:rsid w:val="48937E21"/>
    <w:rsid w:val="489A0361"/>
    <w:rsid w:val="48B94FF3"/>
    <w:rsid w:val="48C4659A"/>
    <w:rsid w:val="48C540C0"/>
    <w:rsid w:val="48DD116F"/>
    <w:rsid w:val="48E37AAB"/>
    <w:rsid w:val="48FD4B4C"/>
    <w:rsid w:val="490948F4"/>
    <w:rsid w:val="490A68E0"/>
    <w:rsid w:val="4910358D"/>
    <w:rsid w:val="491055FE"/>
    <w:rsid w:val="49105C83"/>
    <w:rsid w:val="493F0316"/>
    <w:rsid w:val="49504D9D"/>
    <w:rsid w:val="495F5B3E"/>
    <w:rsid w:val="496F77D7"/>
    <w:rsid w:val="497654FD"/>
    <w:rsid w:val="498D2E30"/>
    <w:rsid w:val="49A07007"/>
    <w:rsid w:val="49B54CE4"/>
    <w:rsid w:val="49B64211"/>
    <w:rsid w:val="49F6167F"/>
    <w:rsid w:val="49FC181A"/>
    <w:rsid w:val="4A064FA0"/>
    <w:rsid w:val="4A16615C"/>
    <w:rsid w:val="4A183041"/>
    <w:rsid w:val="4A25750C"/>
    <w:rsid w:val="4A2A2D74"/>
    <w:rsid w:val="4A4060F4"/>
    <w:rsid w:val="4A4424D7"/>
    <w:rsid w:val="4A4C6847"/>
    <w:rsid w:val="4A500C81"/>
    <w:rsid w:val="4A835FE1"/>
    <w:rsid w:val="4AAF6DD6"/>
    <w:rsid w:val="4AB82D0F"/>
    <w:rsid w:val="4ABD4E4D"/>
    <w:rsid w:val="4ACE1952"/>
    <w:rsid w:val="4AD93E52"/>
    <w:rsid w:val="4AEB7664"/>
    <w:rsid w:val="4AFD7C19"/>
    <w:rsid w:val="4B0567D1"/>
    <w:rsid w:val="4B076C12"/>
    <w:rsid w:val="4B10778F"/>
    <w:rsid w:val="4B236AAE"/>
    <w:rsid w:val="4B2612A9"/>
    <w:rsid w:val="4B616322"/>
    <w:rsid w:val="4B707271"/>
    <w:rsid w:val="4B773D97"/>
    <w:rsid w:val="4B8A1BAE"/>
    <w:rsid w:val="4B9739F7"/>
    <w:rsid w:val="4BB5666E"/>
    <w:rsid w:val="4BB776E6"/>
    <w:rsid w:val="4BD56D10"/>
    <w:rsid w:val="4BED5E07"/>
    <w:rsid w:val="4BEE2503"/>
    <w:rsid w:val="4BF076A6"/>
    <w:rsid w:val="4C1C66ED"/>
    <w:rsid w:val="4C245A30"/>
    <w:rsid w:val="4C2613CF"/>
    <w:rsid w:val="4C2C2DD4"/>
    <w:rsid w:val="4C681932"/>
    <w:rsid w:val="4C6E66A6"/>
    <w:rsid w:val="4C72630D"/>
    <w:rsid w:val="4C9F2D58"/>
    <w:rsid w:val="4CB6685F"/>
    <w:rsid w:val="4CB701C3"/>
    <w:rsid w:val="4CC367FE"/>
    <w:rsid w:val="4CCC1EC1"/>
    <w:rsid w:val="4CED0CAF"/>
    <w:rsid w:val="4D077F3C"/>
    <w:rsid w:val="4D094EC3"/>
    <w:rsid w:val="4D123355"/>
    <w:rsid w:val="4D1A70D0"/>
    <w:rsid w:val="4D2A3B31"/>
    <w:rsid w:val="4D312C52"/>
    <w:rsid w:val="4D5F0F87"/>
    <w:rsid w:val="4D905305"/>
    <w:rsid w:val="4D964A72"/>
    <w:rsid w:val="4D9C1254"/>
    <w:rsid w:val="4DD17B46"/>
    <w:rsid w:val="4E2A50F1"/>
    <w:rsid w:val="4E30022D"/>
    <w:rsid w:val="4E704ACE"/>
    <w:rsid w:val="4E793892"/>
    <w:rsid w:val="4E800872"/>
    <w:rsid w:val="4E834801"/>
    <w:rsid w:val="4E915170"/>
    <w:rsid w:val="4EB726FD"/>
    <w:rsid w:val="4EC569ED"/>
    <w:rsid w:val="4ECB0422"/>
    <w:rsid w:val="4ED35788"/>
    <w:rsid w:val="4ED50EA1"/>
    <w:rsid w:val="4EE71234"/>
    <w:rsid w:val="4EEC050C"/>
    <w:rsid w:val="4EF23735"/>
    <w:rsid w:val="4F104EC3"/>
    <w:rsid w:val="4F3F41D1"/>
    <w:rsid w:val="4F47354A"/>
    <w:rsid w:val="4F756840"/>
    <w:rsid w:val="4F8E5B53"/>
    <w:rsid w:val="4F911C54"/>
    <w:rsid w:val="4FCE7CFE"/>
    <w:rsid w:val="4FE625E0"/>
    <w:rsid w:val="5021480F"/>
    <w:rsid w:val="50281B04"/>
    <w:rsid w:val="504A6AF2"/>
    <w:rsid w:val="50504BB7"/>
    <w:rsid w:val="50633C92"/>
    <w:rsid w:val="506B19F1"/>
    <w:rsid w:val="50834F8C"/>
    <w:rsid w:val="50962ECB"/>
    <w:rsid w:val="50A42E38"/>
    <w:rsid w:val="50A4577F"/>
    <w:rsid w:val="50B73D1F"/>
    <w:rsid w:val="50B909AE"/>
    <w:rsid w:val="50BD5BC9"/>
    <w:rsid w:val="50C11EEE"/>
    <w:rsid w:val="50E97CFC"/>
    <w:rsid w:val="50FA4028"/>
    <w:rsid w:val="510D65B7"/>
    <w:rsid w:val="511157AB"/>
    <w:rsid w:val="511A58F1"/>
    <w:rsid w:val="512E314A"/>
    <w:rsid w:val="5142540C"/>
    <w:rsid w:val="51644DBE"/>
    <w:rsid w:val="516C1805"/>
    <w:rsid w:val="518832C8"/>
    <w:rsid w:val="519F328D"/>
    <w:rsid w:val="51A0432A"/>
    <w:rsid w:val="51A57EC9"/>
    <w:rsid w:val="51A86090"/>
    <w:rsid w:val="51AB6549"/>
    <w:rsid w:val="51AE7DE7"/>
    <w:rsid w:val="51B7396D"/>
    <w:rsid w:val="51CB6BEB"/>
    <w:rsid w:val="51E101BC"/>
    <w:rsid w:val="521A547C"/>
    <w:rsid w:val="522E4CC3"/>
    <w:rsid w:val="5244713B"/>
    <w:rsid w:val="525A5626"/>
    <w:rsid w:val="52615633"/>
    <w:rsid w:val="52884ADC"/>
    <w:rsid w:val="52977FD4"/>
    <w:rsid w:val="52A15B9E"/>
    <w:rsid w:val="52A25790"/>
    <w:rsid w:val="52A96B6F"/>
    <w:rsid w:val="52B45975"/>
    <w:rsid w:val="52D94AA4"/>
    <w:rsid w:val="52E71BCD"/>
    <w:rsid w:val="52EA3A62"/>
    <w:rsid w:val="52F21F55"/>
    <w:rsid w:val="52F50BB8"/>
    <w:rsid w:val="53097272"/>
    <w:rsid w:val="531719BC"/>
    <w:rsid w:val="532A7941"/>
    <w:rsid w:val="53544462"/>
    <w:rsid w:val="535A6478"/>
    <w:rsid w:val="5373753A"/>
    <w:rsid w:val="53841AA0"/>
    <w:rsid w:val="5386726D"/>
    <w:rsid w:val="5397158E"/>
    <w:rsid w:val="53AA2830"/>
    <w:rsid w:val="53E43ECF"/>
    <w:rsid w:val="54013861"/>
    <w:rsid w:val="540553B7"/>
    <w:rsid w:val="541C42E6"/>
    <w:rsid w:val="544113E6"/>
    <w:rsid w:val="54487265"/>
    <w:rsid w:val="544D6070"/>
    <w:rsid w:val="545253A1"/>
    <w:rsid w:val="54605E1E"/>
    <w:rsid w:val="5464607D"/>
    <w:rsid w:val="546E385E"/>
    <w:rsid w:val="547075D6"/>
    <w:rsid w:val="547E637C"/>
    <w:rsid w:val="54B3506A"/>
    <w:rsid w:val="54CA0D16"/>
    <w:rsid w:val="54DD4057"/>
    <w:rsid w:val="54E7490F"/>
    <w:rsid w:val="54EB4EAE"/>
    <w:rsid w:val="54EF0E42"/>
    <w:rsid w:val="550764A4"/>
    <w:rsid w:val="550B2BF6"/>
    <w:rsid w:val="550D3076"/>
    <w:rsid w:val="55180399"/>
    <w:rsid w:val="55214EB5"/>
    <w:rsid w:val="55364EFD"/>
    <w:rsid w:val="553E1482"/>
    <w:rsid w:val="553F4466"/>
    <w:rsid w:val="554747DA"/>
    <w:rsid w:val="555C6F31"/>
    <w:rsid w:val="555D4828"/>
    <w:rsid w:val="557A4C8B"/>
    <w:rsid w:val="558876EA"/>
    <w:rsid w:val="558931E1"/>
    <w:rsid w:val="55923347"/>
    <w:rsid w:val="55925180"/>
    <w:rsid w:val="55943798"/>
    <w:rsid w:val="559519EA"/>
    <w:rsid w:val="55983B1B"/>
    <w:rsid w:val="55A7171D"/>
    <w:rsid w:val="55A8376B"/>
    <w:rsid w:val="55DB36F0"/>
    <w:rsid w:val="55DC29B6"/>
    <w:rsid w:val="55DD4241"/>
    <w:rsid w:val="561D553B"/>
    <w:rsid w:val="56206DD9"/>
    <w:rsid w:val="563A60ED"/>
    <w:rsid w:val="56446F6C"/>
    <w:rsid w:val="565947FF"/>
    <w:rsid w:val="566B6D1E"/>
    <w:rsid w:val="56794E67"/>
    <w:rsid w:val="56C60C9B"/>
    <w:rsid w:val="56DE2F1C"/>
    <w:rsid w:val="56F20776"/>
    <w:rsid w:val="56FC4EE9"/>
    <w:rsid w:val="57032A2C"/>
    <w:rsid w:val="570F5219"/>
    <w:rsid w:val="571B5F1F"/>
    <w:rsid w:val="574D3BFE"/>
    <w:rsid w:val="575D12B5"/>
    <w:rsid w:val="57610A87"/>
    <w:rsid w:val="577B1140"/>
    <w:rsid w:val="577B7F21"/>
    <w:rsid w:val="577F181B"/>
    <w:rsid w:val="57921984"/>
    <w:rsid w:val="579737F0"/>
    <w:rsid w:val="57AB7B30"/>
    <w:rsid w:val="57AF5251"/>
    <w:rsid w:val="57B26373"/>
    <w:rsid w:val="57B63F04"/>
    <w:rsid w:val="57C245EC"/>
    <w:rsid w:val="57CD20C2"/>
    <w:rsid w:val="57D675AB"/>
    <w:rsid w:val="57D95FDD"/>
    <w:rsid w:val="57F56770"/>
    <w:rsid w:val="5814471C"/>
    <w:rsid w:val="5827444F"/>
    <w:rsid w:val="58304C11"/>
    <w:rsid w:val="58733B38"/>
    <w:rsid w:val="587F072F"/>
    <w:rsid w:val="58917D2F"/>
    <w:rsid w:val="5894085C"/>
    <w:rsid w:val="589A2E73"/>
    <w:rsid w:val="58AE4F0C"/>
    <w:rsid w:val="58B85899"/>
    <w:rsid w:val="58BE1257"/>
    <w:rsid w:val="58C425E6"/>
    <w:rsid w:val="58E363A9"/>
    <w:rsid w:val="58F76517"/>
    <w:rsid w:val="595E1678"/>
    <w:rsid w:val="596D5BD4"/>
    <w:rsid w:val="597E3DD8"/>
    <w:rsid w:val="59AC5554"/>
    <w:rsid w:val="59D979CB"/>
    <w:rsid w:val="59F80043"/>
    <w:rsid w:val="5A09252F"/>
    <w:rsid w:val="5A0B2778"/>
    <w:rsid w:val="5A2A7C7B"/>
    <w:rsid w:val="5A3E2560"/>
    <w:rsid w:val="5A5D3B6E"/>
    <w:rsid w:val="5A637A76"/>
    <w:rsid w:val="5A6D33BA"/>
    <w:rsid w:val="5A792B1F"/>
    <w:rsid w:val="5A8474FB"/>
    <w:rsid w:val="5A874767"/>
    <w:rsid w:val="5AAD6F28"/>
    <w:rsid w:val="5AB864BE"/>
    <w:rsid w:val="5AC1217E"/>
    <w:rsid w:val="5AD63A24"/>
    <w:rsid w:val="5AED119A"/>
    <w:rsid w:val="5B04316E"/>
    <w:rsid w:val="5B136F0D"/>
    <w:rsid w:val="5B264C35"/>
    <w:rsid w:val="5B2E1A1D"/>
    <w:rsid w:val="5B353327"/>
    <w:rsid w:val="5B843A1C"/>
    <w:rsid w:val="5B873E3F"/>
    <w:rsid w:val="5B9238C5"/>
    <w:rsid w:val="5BBD55B7"/>
    <w:rsid w:val="5BC5073A"/>
    <w:rsid w:val="5BD668B8"/>
    <w:rsid w:val="5C02690E"/>
    <w:rsid w:val="5C1271C4"/>
    <w:rsid w:val="5C196DA7"/>
    <w:rsid w:val="5C1F025F"/>
    <w:rsid w:val="5C2A048C"/>
    <w:rsid w:val="5C80234E"/>
    <w:rsid w:val="5C8A680C"/>
    <w:rsid w:val="5C8F7233"/>
    <w:rsid w:val="5C9347A9"/>
    <w:rsid w:val="5CF54B1C"/>
    <w:rsid w:val="5D0C00B7"/>
    <w:rsid w:val="5D0C4701"/>
    <w:rsid w:val="5D0F0395"/>
    <w:rsid w:val="5D221076"/>
    <w:rsid w:val="5D3715D8"/>
    <w:rsid w:val="5D397964"/>
    <w:rsid w:val="5D5A391C"/>
    <w:rsid w:val="5D5F10C0"/>
    <w:rsid w:val="5D7F6ADB"/>
    <w:rsid w:val="5D891B7B"/>
    <w:rsid w:val="5DAD38EE"/>
    <w:rsid w:val="5DBE55C4"/>
    <w:rsid w:val="5DE17F75"/>
    <w:rsid w:val="5DEB0036"/>
    <w:rsid w:val="5E005E6E"/>
    <w:rsid w:val="5E006862"/>
    <w:rsid w:val="5E0207B9"/>
    <w:rsid w:val="5E0B036F"/>
    <w:rsid w:val="5E1834A1"/>
    <w:rsid w:val="5E261785"/>
    <w:rsid w:val="5E285081"/>
    <w:rsid w:val="5E4A7017"/>
    <w:rsid w:val="5E552BBA"/>
    <w:rsid w:val="5E611C10"/>
    <w:rsid w:val="5E7303EE"/>
    <w:rsid w:val="5E7D74BF"/>
    <w:rsid w:val="5E877E97"/>
    <w:rsid w:val="5E8C7702"/>
    <w:rsid w:val="5ED35331"/>
    <w:rsid w:val="5ED510A9"/>
    <w:rsid w:val="5EFA466C"/>
    <w:rsid w:val="5EFC7377"/>
    <w:rsid w:val="5F025C16"/>
    <w:rsid w:val="5F06174D"/>
    <w:rsid w:val="5F115EFB"/>
    <w:rsid w:val="5F1D65AC"/>
    <w:rsid w:val="5F3A3602"/>
    <w:rsid w:val="5F5A335C"/>
    <w:rsid w:val="5F6277C6"/>
    <w:rsid w:val="5F661D01"/>
    <w:rsid w:val="5F6D0B1D"/>
    <w:rsid w:val="5F776541"/>
    <w:rsid w:val="5F7E529D"/>
    <w:rsid w:val="5F896013"/>
    <w:rsid w:val="5F8D0B82"/>
    <w:rsid w:val="5FA6034F"/>
    <w:rsid w:val="5FCC5339"/>
    <w:rsid w:val="5FE34A5B"/>
    <w:rsid w:val="5FE5356E"/>
    <w:rsid w:val="5FE84E0C"/>
    <w:rsid w:val="5FFE1E36"/>
    <w:rsid w:val="60232584"/>
    <w:rsid w:val="607330CE"/>
    <w:rsid w:val="60825176"/>
    <w:rsid w:val="609F2AC4"/>
    <w:rsid w:val="60C05441"/>
    <w:rsid w:val="60FA2EE8"/>
    <w:rsid w:val="61054A27"/>
    <w:rsid w:val="610A52BC"/>
    <w:rsid w:val="611D2366"/>
    <w:rsid w:val="61291238"/>
    <w:rsid w:val="61421856"/>
    <w:rsid w:val="61447E20"/>
    <w:rsid w:val="615227C4"/>
    <w:rsid w:val="61573E65"/>
    <w:rsid w:val="61654E3F"/>
    <w:rsid w:val="61693D2A"/>
    <w:rsid w:val="617F70AA"/>
    <w:rsid w:val="6182292A"/>
    <w:rsid w:val="61952334"/>
    <w:rsid w:val="619F7F92"/>
    <w:rsid w:val="61B52ACC"/>
    <w:rsid w:val="61E67129"/>
    <w:rsid w:val="61EA266E"/>
    <w:rsid w:val="61F94C26"/>
    <w:rsid w:val="62000E56"/>
    <w:rsid w:val="621974FF"/>
    <w:rsid w:val="621C2B4B"/>
    <w:rsid w:val="624F3E49"/>
    <w:rsid w:val="62632286"/>
    <w:rsid w:val="62885958"/>
    <w:rsid w:val="629D0130"/>
    <w:rsid w:val="62AC0373"/>
    <w:rsid w:val="62BE3C02"/>
    <w:rsid w:val="62F40B65"/>
    <w:rsid w:val="62FC2CFE"/>
    <w:rsid w:val="62FE3EF7"/>
    <w:rsid w:val="63024505"/>
    <w:rsid w:val="6310308E"/>
    <w:rsid w:val="631D4DCC"/>
    <w:rsid w:val="63304B00"/>
    <w:rsid w:val="63585E05"/>
    <w:rsid w:val="635B1DB5"/>
    <w:rsid w:val="63711FED"/>
    <w:rsid w:val="63880DDC"/>
    <w:rsid w:val="638D750D"/>
    <w:rsid w:val="63A1155A"/>
    <w:rsid w:val="63A66B70"/>
    <w:rsid w:val="63AC6CC0"/>
    <w:rsid w:val="63CA01D3"/>
    <w:rsid w:val="63D74F7B"/>
    <w:rsid w:val="63DC07E4"/>
    <w:rsid w:val="64055776"/>
    <w:rsid w:val="640A35A3"/>
    <w:rsid w:val="64240056"/>
    <w:rsid w:val="643E143A"/>
    <w:rsid w:val="644545DB"/>
    <w:rsid w:val="648B6EEF"/>
    <w:rsid w:val="64C158BF"/>
    <w:rsid w:val="64CE2EAA"/>
    <w:rsid w:val="64E04304"/>
    <w:rsid w:val="64E831B8"/>
    <w:rsid w:val="653603C7"/>
    <w:rsid w:val="653C3090"/>
    <w:rsid w:val="655C6080"/>
    <w:rsid w:val="65854376"/>
    <w:rsid w:val="658767BE"/>
    <w:rsid w:val="65892531"/>
    <w:rsid w:val="65B67123"/>
    <w:rsid w:val="65BA6903"/>
    <w:rsid w:val="65D13497"/>
    <w:rsid w:val="65F91B21"/>
    <w:rsid w:val="660C737F"/>
    <w:rsid w:val="66195831"/>
    <w:rsid w:val="662E75B1"/>
    <w:rsid w:val="66342C2E"/>
    <w:rsid w:val="663E784C"/>
    <w:rsid w:val="66434B4A"/>
    <w:rsid w:val="666B5E4F"/>
    <w:rsid w:val="66763171"/>
    <w:rsid w:val="668B6A45"/>
    <w:rsid w:val="66BA3EC8"/>
    <w:rsid w:val="66E416C6"/>
    <w:rsid w:val="66E53141"/>
    <w:rsid w:val="67023999"/>
    <w:rsid w:val="67220C03"/>
    <w:rsid w:val="672F3F24"/>
    <w:rsid w:val="673E055F"/>
    <w:rsid w:val="67551CE3"/>
    <w:rsid w:val="675C1B63"/>
    <w:rsid w:val="67982DDE"/>
    <w:rsid w:val="679F4002"/>
    <w:rsid w:val="67A22552"/>
    <w:rsid w:val="67AB4D16"/>
    <w:rsid w:val="67B22DCC"/>
    <w:rsid w:val="67BE71AA"/>
    <w:rsid w:val="67CA4DF7"/>
    <w:rsid w:val="67CB3049"/>
    <w:rsid w:val="67D90273"/>
    <w:rsid w:val="67DD0FCE"/>
    <w:rsid w:val="67DE5875"/>
    <w:rsid w:val="67E55852"/>
    <w:rsid w:val="67E934CF"/>
    <w:rsid w:val="67EB1AB4"/>
    <w:rsid w:val="67F26828"/>
    <w:rsid w:val="67FA1285"/>
    <w:rsid w:val="68551F4F"/>
    <w:rsid w:val="687C10C9"/>
    <w:rsid w:val="68840C16"/>
    <w:rsid w:val="68876EFB"/>
    <w:rsid w:val="68884654"/>
    <w:rsid w:val="689F444F"/>
    <w:rsid w:val="68AA23EE"/>
    <w:rsid w:val="68B96DBB"/>
    <w:rsid w:val="68C829B1"/>
    <w:rsid w:val="68CA2805"/>
    <w:rsid w:val="68E937A3"/>
    <w:rsid w:val="693E15D3"/>
    <w:rsid w:val="69470DF5"/>
    <w:rsid w:val="694E214C"/>
    <w:rsid w:val="69627681"/>
    <w:rsid w:val="696A6892"/>
    <w:rsid w:val="6977531D"/>
    <w:rsid w:val="697D3D70"/>
    <w:rsid w:val="698C182D"/>
    <w:rsid w:val="69CC2BFF"/>
    <w:rsid w:val="69E14DA6"/>
    <w:rsid w:val="69F745C9"/>
    <w:rsid w:val="69FB5DEE"/>
    <w:rsid w:val="69FD55B8"/>
    <w:rsid w:val="6A0B1C62"/>
    <w:rsid w:val="6A2406C8"/>
    <w:rsid w:val="6A2F68FA"/>
    <w:rsid w:val="6A4444A1"/>
    <w:rsid w:val="6A5135AE"/>
    <w:rsid w:val="6A745C1A"/>
    <w:rsid w:val="6A883473"/>
    <w:rsid w:val="6A9242F2"/>
    <w:rsid w:val="6ADC556D"/>
    <w:rsid w:val="6ADD205C"/>
    <w:rsid w:val="6ADE0BD1"/>
    <w:rsid w:val="6AE96859"/>
    <w:rsid w:val="6B147746"/>
    <w:rsid w:val="6B24787C"/>
    <w:rsid w:val="6B301415"/>
    <w:rsid w:val="6B364C7D"/>
    <w:rsid w:val="6B3709F5"/>
    <w:rsid w:val="6B56531F"/>
    <w:rsid w:val="6B573233"/>
    <w:rsid w:val="6B5B6274"/>
    <w:rsid w:val="6B792DBC"/>
    <w:rsid w:val="6B826114"/>
    <w:rsid w:val="6B935D53"/>
    <w:rsid w:val="6BA75B7B"/>
    <w:rsid w:val="6BD36970"/>
    <w:rsid w:val="6BEC7A32"/>
    <w:rsid w:val="6C196F71"/>
    <w:rsid w:val="6C226FCB"/>
    <w:rsid w:val="6C2D102D"/>
    <w:rsid w:val="6C2D31F2"/>
    <w:rsid w:val="6C31226F"/>
    <w:rsid w:val="6C3F4006"/>
    <w:rsid w:val="6C45550B"/>
    <w:rsid w:val="6C552F0B"/>
    <w:rsid w:val="6C6D2921"/>
    <w:rsid w:val="6C871509"/>
    <w:rsid w:val="6C881EFC"/>
    <w:rsid w:val="6C8C67B7"/>
    <w:rsid w:val="6C9D744C"/>
    <w:rsid w:val="6CCA07ED"/>
    <w:rsid w:val="6D167928"/>
    <w:rsid w:val="6D26299B"/>
    <w:rsid w:val="6D2C5C90"/>
    <w:rsid w:val="6D4772EC"/>
    <w:rsid w:val="6D9078AF"/>
    <w:rsid w:val="6DA7244B"/>
    <w:rsid w:val="6DAA3FEF"/>
    <w:rsid w:val="6DC0172B"/>
    <w:rsid w:val="6DC20A4A"/>
    <w:rsid w:val="6DCB690C"/>
    <w:rsid w:val="6DD41A5B"/>
    <w:rsid w:val="6DD54C21"/>
    <w:rsid w:val="6DEF5907"/>
    <w:rsid w:val="6DF42BCE"/>
    <w:rsid w:val="6DF43C2E"/>
    <w:rsid w:val="6DF51CA3"/>
    <w:rsid w:val="6E0A419F"/>
    <w:rsid w:val="6E175BEA"/>
    <w:rsid w:val="6E1A0886"/>
    <w:rsid w:val="6E2214E9"/>
    <w:rsid w:val="6E22598D"/>
    <w:rsid w:val="6E3A4A84"/>
    <w:rsid w:val="6E4434FC"/>
    <w:rsid w:val="6E5B5AA7"/>
    <w:rsid w:val="6E8335BD"/>
    <w:rsid w:val="6E8E12EF"/>
    <w:rsid w:val="6E972936"/>
    <w:rsid w:val="6ED446C5"/>
    <w:rsid w:val="6EE7742F"/>
    <w:rsid w:val="6F215C44"/>
    <w:rsid w:val="6F2A7D94"/>
    <w:rsid w:val="6F771D08"/>
    <w:rsid w:val="6F8331F1"/>
    <w:rsid w:val="6F857F81"/>
    <w:rsid w:val="6F986088"/>
    <w:rsid w:val="6FAE1A09"/>
    <w:rsid w:val="6FB10D76"/>
    <w:rsid w:val="6FD75BF8"/>
    <w:rsid w:val="6FFE7D34"/>
    <w:rsid w:val="70115CB9"/>
    <w:rsid w:val="70192D01"/>
    <w:rsid w:val="702E23C7"/>
    <w:rsid w:val="704E4817"/>
    <w:rsid w:val="707723D0"/>
    <w:rsid w:val="70A04FBC"/>
    <w:rsid w:val="70B328CC"/>
    <w:rsid w:val="70D171F6"/>
    <w:rsid w:val="70E37655"/>
    <w:rsid w:val="70F5661B"/>
    <w:rsid w:val="70FB3CC9"/>
    <w:rsid w:val="71197447"/>
    <w:rsid w:val="71357785"/>
    <w:rsid w:val="71360107"/>
    <w:rsid w:val="713B688E"/>
    <w:rsid w:val="71542301"/>
    <w:rsid w:val="719B7F30"/>
    <w:rsid w:val="71A40397"/>
    <w:rsid w:val="71C11019"/>
    <w:rsid w:val="71C71E0A"/>
    <w:rsid w:val="71C90A4F"/>
    <w:rsid w:val="71D43752"/>
    <w:rsid w:val="71E03B95"/>
    <w:rsid w:val="71F1796A"/>
    <w:rsid w:val="72154626"/>
    <w:rsid w:val="7224095F"/>
    <w:rsid w:val="72262B5D"/>
    <w:rsid w:val="72283FF7"/>
    <w:rsid w:val="722E7212"/>
    <w:rsid w:val="723A0474"/>
    <w:rsid w:val="725923E4"/>
    <w:rsid w:val="726A7902"/>
    <w:rsid w:val="72864BF7"/>
    <w:rsid w:val="729023FC"/>
    <w:rsid w:val="72987FCC"/>
    <w:rsid w:val="72A00F3F"/>
    <w:rsid w:val="72D422B3"/>
    <w:rsid w:val="72F01BB6"/>
    <w:rsid w:val="73092C77"/>
    <w:rsid w:val="73131D48"/>
    <w:rsid w:val="733A5527"/>
    <w:rsid w:val="735A34D3"/>
    <w:rsid w:val="73C0646E"/>
    <w:rsid w:val="73CF4676"/>
    <w:rsid w:val="73F40973"/>
    <w:rsid w:val="742222F5"/>
    <w:rsid w:val="74237D69"/>
    <w:rsid w:val="743E4BA3"/>
    <w:rsid w:val="74476126"/>
    <w:rsid w:val="745A5E80"/>
    <w:rsid w:val="74706664"/>
    <w:rsid w:val="7472484C"/>
    <w:rsid w:val="747F3682"/>
    <w:rsid w:val="749C4185"/>
    <w:rsid w:val="74EB6AD9"/>
    <w:rsid w:val="75067759"/>
    <w:rsid w:val="751C1388"/>
    <w:rsid w:val="752E6DCD"/>
    <w:rsid w:val="7551380D"/>
    <w:rsid w:val="75524DAA"/>
    <w:rsid w:val="755521A4"/>
    <w:rsid w:val="75600BE5"/>
    <w:rsid w:val="75640639"/>
    <w:rsid w:val="7564475C"/>
    <w:rsid w:val="756920F3"/>
    <w:rsid w:val="757E5B9F"/>
    <w:rsid w:val="7583797F"/>
    <w:rsid w:val="75B74C0D"/>
    <w:rsid w:val="75C537CD"/>
    <w:rsid w:val="75D20F1D"/>
    <w:rsid w:val="75D946F8"/>
    <w:rsid w:val="75DA2C18"/>
    <w:rsid w:val="75F54412"/>
    <w:rsid w:val="7601232C"/>
    <w:rsid w:val="76116A13"/>
    <w:rsid w:val="76191146"/>
    <w:rsid w:val="76191423"/>
    <w:rsid w:val="761D08E0"/>
    <w:rsid w:val="761E2EDE"/>
    <w:rsid w:val="761F2A0C"/>
    <w:rsid w:val="765D347C"/>
    <w:rsid w:val="766A1C7F"/>
    <w:rsid w:val="766C3C49"/>
    <w:rsid w:val="76746FA2"/>
    <w:rsid w:val="76826699"/>
    <w:rsid w:val="769211D6"/>
    <w:rsid w:val="76A35191"/>
    <w:rsid w:val="76A5673E"/>
    <w:rsid w:val="76AA4771"/>
    <w:rsid w:val="76AC2297"/>
    <w:rsid w:val="76C87133"/>
    <w:rsid w:val="76CD08D5"/>
    <w:rsid w:val="76D8308D"/>
    <w:rsid w:val="76DB4B92"/>
    <w:rsid w:val="76ED7735"/>
    <w:rsid w:val="77052AA4"/>
    <w:rsid w:val="77136511"/>
    <w:rsid w:val="77340A39"/>
    <w:rsid w:val="77351FD0"/>
    <w:rsid w:val="77366005"/>
    <w:rsid w:val="77387FCF"/>
    <w:rsid w:val="77472422"/>
    <w:rsid w:val="774E1085"/>
    <w:rsid w:val="77514BED"/>
    <w:rsid w:val="777059BB"/>
    <w:rsid w:val="77707769"/>
    <w:rsid w:val="777F31F2"/>
    <w:rsid w:val="77822FF8"/>
    <w:rsid w:val="77D1700D"/>
    <w:rsid w:val="77E15F71"/>
    <w:rsid w:val="77EC04CC"/>
    <w:rsid w:val="780D320A"/>
    <w:rsid w:val="78586984"/>
    <w:rsid w:val="786D5A56"/>
    <w:rsid w:val="78775729"/>
    <w:rsid w:val="788429D3"/>
    <w:rsid w:val="78A42DB0"/>
    <w:rsid w:val="78A656AB"/>
    <w:rsid w:val="78AD22F7"/>
    <w:rsid w:val="78B2245C"/>
    <w:rsid w:val="78E172CC"/>
    <w:rsid w:val="78EA1D1F"/>
    <w:rsid w:val="78EA52F9"/>
    <w:rsid w:val="7904172F"/>
    <w:rsid w:val="790F7E27"/>
    <w:rsid w:val="7927654D"/>
    <w:rsid w:val="792A231A"/>
    <w:rsid w:val="79316829"/>
    <w:rsid w:val="79514C5B"/>
    <w:rsid w:val="79733540"/>
    <w:rsid w:val="79780B57"/>
    <w:rsid w:val="797E66A9"/>
    <w:rsid w:val="798E037A"/>
    <w:rsid w:val="79A97383"/>
    <w:rsid w:val="79BE52CF"/>
    <w:rsid w:val="79CE2C47"/>
    <w:rsid w:val="79E27E8B"/>
    <w:rsid w:val="79F850CE"/>
    <w:rsid w:val="79FD443C"/>
    <w:rsid w:val="7A1D1975"/>
    <w:rsid w:val="7A3E5150"/>
    <w:rsid w:val="7A3F3423"/>
    <w:rsid w:val="7A4670D6"/>
    <w:rsid w:val="7A534B63"/>
    <w:rsid w:val="7A540C7C"/>
    <w:rsid w:val="7A615382"/>
    <w:rsid w:val="7A666C01"/>
    <w:rsid w:val="7A67303B"/>
    <w:rsid w:val="7A9B68AB"/>
    <w:rsid w:val="7AAB1D04"/>
    <w:rsid w:val="7AB23BF5"/>
    <w:rsid w:val="7ABA4368"/>
    <w:rsid w:val="7AD05746"/>
    <w:rsid w:val="7B200C24"/>
    <w:rsid w:val="7B257FFD"/>
    <w:rsid w:val="7B343476"/>
    <w:rsid w:val="7B38234C"/>
    <w:rsid w:val="7B3F192C"/>
    <w:rsid w:val="7B446F42"/>
    <w:rsid w:val="7B4F2C4C"/>
    <w:rsid w:val="7B5573A2"/>
    <w:rsid w:val="7B5A2978"/>
    <w:rsid w:val="7B5A7E4C"/>
    <w:rsid w:val="7B667AF9"/>
    <w:rsid w:val="7B6E3FBF"/>
    <w:rsid w:val="7B7468F8"/>
    <w:rsid w:val="7BEE0103"/>
    <w:rsid w:val="7BF02C26"/>
    <w:rsid w:val="7C0A0FE4"/>
    <w:rsid w:val="7C152060"/>
    <w:rsid w:val="7C254906"/>
    <w:rsid w:val="7C2D5C29"/>
    <w:rsid w:val="7C30396B"/>
    <w:rsid w:val="7C417926"/>
    <w:rsid w:val="7C547E23"/>
    <w:rsid w:val="7C590818"/>
    <w:rsid w:val="7C797290"/>
    <w:rsid w:val="7C7C10F6"/>
    <w:rsid w:val="7C853BEA"/>
    <w:rsid w:val="7C881368"/>
    <w:rsid w:val="7C9A19C4"/>
    <w:rsid w:val="7CB2612E"/>
    <w:rsid w:val="7CC52305"/>
    <w:rsid w:val="7CE27788"/>
    <w:rsid w:val="7CF0718F"/>
    <w:rsid w:val="7CF91FAF"/>
    <w:rsid w:val="7D0C32F1"/>
    <w:rsid w:val="7D0F408D"/>
    <w:rsid w:val="7D1E6F0C"/>
    <w:rsid w:val="7D491C6C"/>
    <w:rsid w:val="7D4C20DE"/>
    <w:rsid w:val="7D5176F5"/>
    <w:rsid w:val="7D5429C0"/>
    <w:rsid w:val="7D6E02A7"/>
    <w:rsid w:val="7D6E6D43"/>
    <w:rsid w:val="7D9F4904"/>
    <w:rsid w:val="7DB57A34"/>
    <w:rsid w:val="7DB87774"/>
    <w:rsid w:val="7DB97741"/>
    <w:rsid w:val="7DD10836"/>
    <w:rsid w:val="7DD722F0"/>
    <w:rsid w:val="7DE60973"/>
    <w:rsid w:val="7DEF0916"/>
    <w:rsid w:val="7E097FCF"/>
    <w:rsid w:val="7E1D3A7B"/>
    <w:rsid w:val="7E1E5218"/>
    <w:rsid w:val="7E615613"/>
    <w:rsid w:val="7E710FB9"/>
    <w:rsid w:val="7E7F0191"/>
    <w:rsid w:val="7E9A4E1F"/>
    <w:rsid w:val="7E9F26E2"/>
    <w:rsid w:val="7EA45C86"/>
    <w:rsid w:val="7EA7723A"/>
    <w:rsid w:val="7ED54355"/>
    <w:rsid w:val="7EF56FBB"/>
    <w:rsid w:val="7F0768EB"/>
    <w:rsid w:val="7F0A04A3"/>
    <w:rsid w:val="7F143BEC"/>
    <w:rsid w:val="7F590AE3"/>
    <w:rsid w:val="7F715AF2"/>
    <w:rsid w:val="7F886E69"/>
    <w:rsid w:val="7F9B10FB"/>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next w:val="16"/>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Balloon Text"/>
    <w:basedOn w:val="1"/>
    <w:next w:val="17"/>
    <w:link w:val="192"/>
    <w:autoRedefine/>
    <w:qFormat/>
    <w:uiPriority w:val="0"/>
    <w:rPr>
      <w:sz w:val="18"/>
      <w:szCs w:val="18"/>
    </w:rPr>
  </w:style>
  <w:style w:type="paragraph" w:styleId="17">
    <w:name w:val="toc 8"/>
    <w:basedOn w:val="1"/>
    <w:next w:val="1"/>
    <w:autoRedefine/>
    <w:qFormat/>
    <w:uiPriority w:val="0"/>
    <w:pPr>
      <w:ind w:left="2940" w:leftChars="1400"/>
    </w:pPr>
  </w:style>
  <w:style w:type="paragraph" w:styleId="18">
    <w:name w:val="Normal Indent"/>
    <w:basedOn w:val="1"/>
    <w:next w:val="19"/>
    <w:link w:val="197"/>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toc 4"/>
    <w:basedOn w:val="1"/>
    <w:next w:val="1"/>
    <w:autoRedefine/>
    <w:qFormat/>
    <w:uiPriority w:val="0"/>
    <w:pPr>
      <w:ind w:left="1260" w:leftChars="600"/>
    </w:pPr>
  </w:style>
  <w:style w:type="paragraph" w:styleId="20">
    <w:name w:val="caption"/>
    <w:basedOn w:val="1"/>
    <w:next w:val="1"/>
    <w:link w:val="232"/>
    <w:autoRedefine/>
    <w:qFormat/>
    <w:uiPriority w:val="0"/>
    <w:rPr>
      <w:b/>
      <w:sz w:val="28"/>
      <w:szCs w:val="20"/>
    </w:rPr>
  </w:style>
  <w:style w:type="paragraph" w:styleId="21">
    <w:name w:val="index 5"/>
    <w:basedOn w:val="1"/>
    <w:next w:val="1"/>
    <w:autoRedefine/>
    <w:qFormat/>
    <w:uiPriority w:val="0"/>
    <w:pPr>
      <w:adjustRightInd/>
      <w:ind w:left="800" w:leftChars="800" w:firstLine="200" w:firstLineChars="200"/>
    </w:pPr>
  </w:style>
  <w:style w:type="paragraph" w:styleId="22">
    <w:name w:val="Document Map"/>
    <w:basedOn w:val="1"/>
    <w:link w:val="206"/>
    <w:autoRedefine/>
    <w:qFormat/>
    <w:uiPriority w:val="0"/>
    <w:pPr>
      <w:shd w:val="clear" w:color="auto" w:fill="000080"/>
    </w:pPr>
  </w:style>
  <w:style w:type="paragraph" w:styleId="23">
    <w:name w:val="annotation text"/>
    <w:basedOn w:val="1"/>
    <w:link w:val="345"/>
    <w:autoRedefine/>
    <w:qFormat/>
    <w:uiPriority w:val="99"/>
    <w:pPr>
      <w:jc w:val="left"/>
    </w:pPr>
  </w:style>
  <w:style w:type="paragraph" w:styleId="24">
    <w:name w:val="Salutation"/>
    <w:basedOn w:val="1"/>
    <w:next w:val="1"/>
    <w:link w:val="299"/>
    <w:autoRedefine/>
    <w:qFormat/>
    <w:uiPriority w:val="0"/>
    <w:rPr>
      <w:rFonts w:ascii="仿宋_GB2312" w:eastAsia="仿宋_GB2312"/>
      <w:sz w:val="28"/>
      <w:szCs w:val="20"/>
    </w:rPr>
  </w:style>
  <w:style w:type="paragraph" w:styleId="25">
    <w:name w:val="Body Text 3"/>
    <w:basedOn w:val="1"/>
    <w:link w:val="331"/>
    <w:autoRedefine/>
    <w:qFormat/>
    <w:uiPriority w:val="0"/>
    <w:pPr>
      <w:jc w:val="center"/>
    </w:pPr>
    <w:rPr>
      <w:szCs w:val="20"/>
    </w:rPr>
  </w:style>
  <w:style w:type="paragraph" w:styleId="26">
    <w:name w:val="List Bullet 3"/>
    <w:basedOn w:val="1"/>
    <w:autoRedefine/>
    <w:unhideWhenUsed/>
    <w:qFormat/>
    <w:uiPriority w:val="0"/>
    <w:pPr>
      <w:snapToGrid w:val="0"/>
      <w:spacing w:line="360" w:lineRule="auto"/>
      <w:ind w:left="360" w:right="238" w:hanging="360"/>
      <w:contextualSpacing/>
    </w:pPr>
    <w:rPr>
      <w:sz w:val="24"/>
    </w:rPr>
  </w:style>
  <w:style w:type="paragraph" w:styleId="27">
    <w:name w:val="Body Text"/>
    <w:basedOn w:val="1"/>
    <w:next w:val="28"/>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8">
    <w:name w:val="Body Text First Indent"/>
    <w:basedOn w:val="27"/>
    <w:next w:val="29"/>
    <w:link w:val="322"/>
    <w:autoRedefine/>
    <w:qFormat/>
    <w:uiPriority w:val="0"/>
    <w:pPr>
      <w:ind w:firstLine="420"/>
    </w:pPr>
    <w:rPr>
      <w:rFonts w:hAnsi="Calibri" w:cs="Times New Roman"/>
      <w:snapToGrid/>
      <w:szCs w:val="20"/>
    </w:rPr>
  </w:style>
  <w:style w:type="paragraph" w:styleId="29">
    <w:name w:val="toc 6"/>
    <w:basedOn w:val="1"/>
    <w:next w:val="1"/>
    <w:autoRedefine/>
    <w:qFormat/>
    <w:uiPriority w:val="0"/>
    <w:pPr>
      <w:ind w:left="2100" w:leftChars="1000"/>
    </w:pPr>
  </w:style>
  <w:style w:type="paragraph" w:styleId="30">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31">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2">
    <w:name w:val="List 2"/>
    <w:basedOn w:val="1"/>
    <w:autoRedefine/>
    <w:qFormat/>
    <w:uiPriority w:val="0"/>
    <w:pPr>
      <w:adjustRightInd/>
      <w:spacing w:line="360" w:lineRule="auto"/>
      <w:ind w:left="100" w:leftChars="200" w:hanging="200" w:hangingChars="200"/>
    </w:pPr>
    <w:rPr>
      <w:rFonts w:eastAsia="微软雅黑"/>
    </w:rPr>
  </w:style>
  <w:style w:type="paragraph" w:styleId="33">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4">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5">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6">
    <w:name w:val="toc 5"/>
    <w:basedOn w:val="1"/>
    <w:next w:val="1"/>
    <w:autoRedefine/>
    <w:qFormat/>
    <w:uiPriority w:val="0"/>
    <w:pPr>
      <w:ind w:left="1680" w:leftChars="800"/>
    </w:pPr>
  </w:style>
  <w:style w:type="paragraph" w:styleId="37">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8">
    <w:name w:val="Plain Text"/>
    <w:basedOn w:val="1"/>
    <w:next w:val="1"/>
    <w:link w:val="129"/>
    <w:autoRedefine/>
    <w:qFormat/>
    <w:uiPriority w:val="0"/>
    <w:rPr>
      <w:rFonts w:ascii="宋体" w:hAnsi="Courier New" w:cs="Arial"/>
      <w:snapToGrid w:val="0"/>
      <w:szCs w:val="21"/>
    </w:rPr>
  </w:style>
  <w:style w:type="paragraph" w:styleId="39">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0">
    <w:name w:val="Date"/>
    <w:basedOn w:val="1"/>
    <w:next w:val="1"/>
    <w:link w:val="185"/>
    <w:autoRedefine/>
    <w:qFormat/>
    <w:uiPriority w:val="0"/>
    <w:pPr>
      <w:ind w:left="100" w:leftChars="2500"/>
    </w:pPr>
    <w:rPr>
      <w:rFonts w:ascii="宋体"/>
      <w:sz w:val="24"/>
      <w:szCs w:val="21"/>
      <w:lang w:val="zh-CN"/>
    </w:rPr>
  </w:style>
  <w:style w:type="paragraph" w:styleId="41">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2">
    <w:name w:val="endnote text"/>
    <w:basedOn w:val="1"/>
    <w:link w:val="931"/>
    <w:autoRedefine/>
    <w:qFormat/>
    <w:uiPriority w:val="0"/>
    <w:rPr>
      <w:lang w:val="zh-CN"/>
    </w:rPr>
  </w:style>
  <w:style w:type="paragraph" w:styleId="43">
    <w:name w:val="footer"/>
    <w:basedOn w:val="1"/>
    <w:link w:val="384"/>
    <w:autoRedefine/>
    <w:qFormat/>
    <w:uiPriority w:val="99"/>
    <w:pPr>
      <w:tabs>
        <w:tab w:val="center" w:pos="4153"/>
        <w:tab w:val="right" w:pos="8306"/>
      </w:tabs>
      <w:snapToGrid w:val="0"/>
      <w:jc w:val="left"/>
    </w:pPr>
    <w:rPr>
      <w:sz w:val="18"/>
      <w:szCs w:val="18"/>
    </w:rPr>
  </w:style>
  <w:style w:type="paragraph" w:styleId="44">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index heading"/>
    <w:basedOn w:val="1"/>
    <w:next w:val="48"/>
    <w:autoRedefine/>
    <w:qFormat/>
    <w:uiPriority w:val="0"/>
    <w:pPr>
      <w:adjustRightInd/>
      <w:ind w:firstLine="200" w:firstLineChars="200"/>
    </w:pPr>
  </w:style>
  <w:style w:type="paragraph" w:styleId="48">
    <w:name w:val="index 1"/>
    <w:basedOn w:val="1"/>
    <w:next w:val="1"/>
    <w:autoRedefine/>
    <w:qFormat/>
    <w:uiPriority w:val="0"/>
    <w:pPr>
      <w:adjustRightInd/>
      <w:spacing w:line="360" w:lineRule="auto"/>
      <w:ind w:firstLine="200" w:firstLineChars="200"/>
      <w:jc w:val="center"/>
    </w:pPr>
    <w:rPr>
      <w:sz w:val="24"/>
      <w:szCs w:val="20"/>
    </w:rPr>
  </w:style>
  <w:style w:type="paragraph" w:styleId="49">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autoRedefine/>
    <w:qFormat/>
    <w:uiPriority w:val="0"/>
    <w:pPr>
      <w:tabs>
        <w:tab w:val="left" w:pos="902"/>
      </w:tabs>
      <w:adjustRightInd/>
      <w:spacing w:line="400" w:lineRule="exact"/>
      <w:ind w:left="902" w:hanging="420"/>
    </w:pPr>
    <w:rPr>
      <w:sz w:val="24"/>
      <w:szCs w:val="20"/>
    </w:rPr>
  </w:style>
  <w:style w:type="paragraph" w:styleId="51">
    <w:name w:val="List"/>
    <w:basedOn w:val="1"/>
    <w:autoRedefine/>
    <w:qFormat/>
    <w:uiPriority w:val="0"/>
    <w:pPr>
      <w:ind w:left="200" w:hanging="200" w:hangingChars="200"/>
    </w:pPr>
  </w:style>
  <w:style w:type="paragraph" w:styleId="52">
    <w:name w:val="footnote text"/>
    <w:basedOn w:val="18"/>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3"/>
    <w:next w:val="23"/>
    <w:link w:val="100"/>
    <w:autoRedefine/>
    <w:qFormat/>
    <w:uiPriority w:val="0"/>
    <w:rPr>
      <w:b/>
      <w:bCs/>
    </w:rPr>
  </w:style>
  <w:style w:type="paragraph" w:styleId="62">
    <w:name w:val="Body Text First Indent 2"/>
    <w:basedOn w:val="30"/>
    <w:link w:val="125"/>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basedOn w:val="70"/>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character" w:styleId="80">
    <w:name w:val="HTML Sample"/>
    <w:basedOn w:val="70"/>
    <w:autoRedefine/>
    <w:qFormat/>
    <w:uiPriority w:val="0"/>
    <w:rPr>
      <w:rFonts w:ascii="Courier New" w:hAnsi="Courier New"/>
    </w:rPr>
  </w:style>
  <w:style w:type="paragraph" w:customStyle="1" w:styleId="8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2">
    <w:name w:val="标题 2 Char"/>
    <w:autoRedefine/>
    <w:qFormat/>
    <w:uiPriority w:val="0"/>
    <w:rPr>
      <w:rFonts w:ascii="Arial" w:hAnsi="Arial" w:eastAsia="黑体"/>
      <w:b/>
      <w:kern w:val="2"/>
      <w:sz w:val="32"/>
      <w:lang w:val="en-US" w:eastAsia="zh-CN"/>
    </w:rPr>
  </w:style>
  <w:style w:type="paragraph" w:customStyle="1" w:styleId="83">
    <w:name w:val="[Normal]"/>
    <w:autoRedefine/>
    <w:qFormat/>
    <w:uiPriority w:val="0"/>
    <w:rPr>
      <w:rFonts w:ascii="宋体" w:hAnsi="宋体" w:eastAsia="宋体" w:cs="Times New Roman"/>
      <w:sz w:val="24"/>
      <w:szCs w:val="22"/>
      <w:lang w:val="zh-CN" w:eastAsia="zh-CN" w:bidi="ar-SA"/>
    </w:rPr>
  </w:style>
  <w:style w:type="character" w:customStyle="1" w:styleId="84">
    <w:name w:val="标题 1 Char"/>
    <w:link w:val="3"/>
    <w:autoRedefine/>
    <w:qFormat/>
    <w:uiPriority w:val="9"/>
    <w:rPr>
      <w:b/>
      <w:bCs/>
      <w:kern w:val="44"/>
      <w:sz w:val="44"/>
      <w:szCs w:val="44"/>
    </w:rPr>
  </w:style>
  <w:style w:type="paragraph" w:customStyle="1" w:styleId="85">
    <w:name w:val="文档正文"/>
    <w:basedOn w:val="1"/>
    <w:autoRedefine/>
    <w:qFormat/>
    <w:uiPriority w:val="0"/>
    <w:pPr>
      <w:spacing w:line="480" w:lineRule="atLeast"/>
      <w:ind w:firstLine="567"/>
      <w:textAlignment w:val="baseline"/>
    </w:pPr>
    <w:rPr>
      <w:kern w:val="0"/>
      <w:sz w:val="24"/>
      <w:szCs w:val="20"/>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snapToGrid w:val="0"/>
      <w:spacing w:line="360" w:lineRule="auto"/>
      <w:ind w:firstLine="482"/>
      <w:jc w:val="left"/>
    </w:pPr>
    <w:rPr>
      <w:rFonts w:ascii="宋体" w:hAnsi="宋体"/>
      <w:kern w:val="0"/>
      <w:sz w:val="24"/>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firstLineChars="200"/>
    </w:pPr>
    <w:rPr>
      <w:kern w:val="0"/>
      <w:sz w:val="24"/>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Char1"/>
    <w:link w:val="61"/>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spacing w:line="360" w:lineRule="auto"/>
      <w:ind w:firstLine="200" w:firstLineChars="200"/>
    </w:pPr>
    <w:rPr>
      <w:rFonts w:ascii="宋体" w:hAnsi="宋体"/>
      <w:sz w:val="24"/>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首行缩进 2 Char"/>
    <w:link w:val="62"/>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70"/>
    <w:autoRedefine/>
    <w:qFormat/>
    <w:uiPriority w:val="0"/>
    <w:rPr>
      <w:rFonts w:ascii="Arial" w:hAnsi="Arial" w:eastAsia="黑体" w:cs="Arial"/>
      <w:snapToGrid w:val="0"/>
      <w:kern w:val="0"/>
      <w:szCs w:val="21"/>
    </w:rPr>
  </w:style>
  <w:style w:type="character" w:customStyle="1" w:styleId="129">
    <w:name w:val="纯文本 Char"/>
    <w:link w:val="38"/>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line="360" w:lineRule="auto"/>
      <w:ind w:firstLine="510" w:firstLineChars="200"/>
    </w:pPr>
    <w:rPr>
      <w:sz w:val="24"/>
      <w:szCs w:val="20"/>
    </w:rPr>
  </w:style>
  <w:style w:type="character" w:customStyle="1" w:styleId="136">
    <w:name w:val="Char Char24"/>
    <w:autoRedefine/>
    <w:qFormat/>
    <w:uiPriority w:val="6"/>
    <w:rPr>
      <w:kern w:val="1"/>
      <w:sz w:val="21"/>
    </w:rPr>
  </w:style>
  <w:style w:type="character" w:customStyle="1" w:styleId="137">
    <w:name w:val="副标题 Char"/>
    <w:link w:val="49"/>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sz w:val="22"/>
      <w:szCs w:val="22"/>
      <w:lang w:val="en-US" w:eastAsia="zh-CN" w:bidi="ar-SA"/>
    </w:rPr>
  </w:style>
  <w:style w:type="paragraph" w:customStyle="1" w:styleId="144">
    <w:name w:val="无间隔1"/>
    <w:link w:val="143"/>
    <w:autoRedefine/>
    <w:qFormat/>
    <w:uiPriority w:val="1"/>
    <w:rPr>
      <w:rFonts w:ascii="Times New Roman" w:hAnsi="Times New Roman" w:eastAsia="宋体" w:cs="Times New Roman"/>
      <w:sz w:val="22"/>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Char"/>
    <w:link w:val="8"/>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4"/>
    <w:link w:val="174"/>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Char"/>
    <w:link w:val="40"/>
    <w:autoRedefine/>
    <w:qFormat/>
    <w:uiPriority w:val="0"/>
    <w:rPr>
      <w:rFonts w:ascii="宋体"/>
      <w:kern w:val="2"/>
      <w:sz w:val="24"/>
      <w:szCs w:val="21"/>
      <w:lang w:val="zh-CN"/>
    </w:rPr>
  </w:style>
  <w:style w:type="character" w:customStyle="1" w:styleId="186">
    <w:name w:val="标题 9 Char"/>
    <w:link w:val="11"/>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Char"/>
    <w:link w:val="16"/>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spacing w:line="360" w:lineRule="auto"/>
      <w:ind w:firstLine="480" w:firstLineChars="200"/>
    </w:pPr>
    <w:rPr>
      <w:rFonts w:ascii="Tahoma" w:hAnsi="Tahoma"/>
      <w:kern w:val="0"/>
      <w:sz w:val="24"/>
    </w:rPr>
  </w:style>
  <w:style w:type="character" w:customStyle="1" w:styleId="197">
    <w:name w:val="正文缩进 Char2"/>
    <w:link w:val="18"/>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Char1"/>
    <w:link w:val="22"/>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basedOn w:val="70"/>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0"/>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3"/>
    <w:autoRedefine/>
    <w:qFormat/>
    <w:uiPriority w:val="0"/>
    <w:rPr>
      <w:rFonts w:ascii="仿宋_GB2312" w:hAnsi="仿宋" w:eastAsia="仿宋_GB2312" w:cs="仿宋_GB2312"/>
      <w:sz w:val="32"/>
      <w:szCs w:val="30"/>
      <w:lang w:val="zh-CN"/>
    </w:rPr>
  </w:style>
  <w:style w:type="character" w:customStyle="1" w:styleId="222">
    <w:name w:val="HTML 地址 Char"/>
    <w:link w:val="35"/>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6"/>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20"/>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
    <w:autoRedefine/>
    <w:qFormat/>
    <w:uiPriority w:val="0"/>
    <w:rPr>
      <w:rFonts w:ascii="仿宋_GB2312" w:eastAsia="仿宋_GB2312" w:cs="仿宋_GB2312"/>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仿宋_GB2312"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仿宋_GB2312" w:eastAsia="仿宋_GB2312"/>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仿宋_GB2312" w:hAnsi="仿宋_GB2312" w:eastAsia="仿宋_GB2312"/>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30"/>
    <w:autoRedefine/>
    <w:qFormat/>
    <w:uiPriority w:val="0"/>
    <w:rPr>
      <w:rFonts w:ascii="宋体" w:hAnsi="宋体"/>
      <w:kern w:val="2"/>
      <w:sz w:val="24"/>
      <w:szCs w:val="24"/>
    </w:rPr>
  </w:style>
  <w:style w:type="character" w:customStyle="1" w:styleId="268">
    <w:name w:val="font01"/>
    <w:basedOn w:val="70"/>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0"/>
    <w:autoRedefine/>
    <w:qFormat/>
    <w:uiPriority w:val="10"/>
    <w:rPr>
      <w:b/>
      <w:sz w:val="24"/>
      <w:lang w:val="en-GB"/>
    </w:rPr>
  </w:style>
  <w:style w:type="character" w:customStyle="1" w:styleId="288">
    <w:name w:val="font81"/>
    <w:basedOn w:val="70"/>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4"/>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8"/>
    <w:autoRedefine/>
    <w:qFormat/>
    <w:uiPriority w:val="0"/>
    <w:rPr>
      <w:rFonts w:ascii="黑体" w:hAnsi="Courier New" w:eastAsia="黑体"/>
    </w:rPr>
  </w:style>
  <w:style w:type="character" w:customStyle="1" w:styleId="303">
    <w:name w:val="正文文本 2 Char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41"/>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2"/>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28"/>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5"/>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3"/>
    <w:autoRedefine/>
    <w:qFormat/>
    <w:uiPriority w:val="0"/>
    <w:rPr>
      <w:kern w:val="2"/>
      <w:sz w:val="21"/>
      <w:szCs w:val="24"/>
    </w:rPr>
  </w:style>
  <w:style w:type="character" w:customStyle="1" w:styleId="346">
    <w:name w:val="签名 Char"/>
    <w:link w:val="45"/>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basedOn w:val="70"/>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4"/>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3"/>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4"/>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8"/>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7"/>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30"/>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2"/>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8"/>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
    <w:next w:val="2"/>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
    <w:next w:val="2"/>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8"/>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30"/>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8"/>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30"/>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正文文字表格居中"/>
    <w:basedOn w:val="1"/>
    <w:next w:val="57"/>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3"/>
    <w:autoRedefine/>
    <w:qFormat/>
    <w:uiPriority w:val="0"/>
    <w:pPr>
      <w:tabs>
        <w:tab w:val="left" w:pos="840"/>
      </w:tabs>
      <w:adjustRightInd/>
      <w:ind w:left="840" w:hanging="420"/>
    </w:pPr>
  </w:style>
  <w:style w:type="paragraph" w:customStyle="1" w:styleId="626">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4"/>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7"/>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30"/>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41"/>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next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20"/>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7"/>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30"/>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18"/>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5"/>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40"/>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5"/>
    <w:next w:val="640"/>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4"/>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7"/>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41"/>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7"/>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30"/>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2"/>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9"/>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7"/>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42"/>
    <w:autoRedefine/>
    <w:qFormat/>
    <w:uiPriority w:val="0"/>
    <w:rPr>
      <w:kern w:val="2"/>
      <w:sz w:val="21"/>
      <w:szCs w:val="24"/>
      <w:lang w:val="zh-CN"/>
    </w:rPr>
  </w:style>
  <w:style w:type="character" w:customStyle="1" w:styleId="932">
    <w:name w:val="无间隔 Char"/>
    <w:link w:val="484"/>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60"/>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basedOn w:val="70"/>
    <w:autoRedefine/>
    <w:qFormat/>
    <w:uiPriority w:val="0"/>
    <w:rPr>
      <w:rFonts w:hint="eastAsia" w:ascii="仿宋" w:hAnsi="仿宋" w:eastAsia="仿宋" w:cs="仿宋"/>
      <w:color w:val="000000"/>
      <w:sz w:val="22"/>
      <w:szCs w:val="22"/>
      <w:u w:val="none"/>
    </w:rPr>
  </w:style>
  <w:style w:type="paragraph" w:customStyle="1" w:styleId="963">
    <w:name w:val="Body Text First Indent1"/>
    <w:basedOn w:val="27"/>
    <w:next w:val="1"/>
    <w:autoRedefine/>
    <w:qFormat/>
    <w:uiPriority w:val="0"/>
    <w:pPr>
      <w:spacing w:line="312" w:lineRule="auto"/>
      <w:ind w:firstLine="420"/>
    </w:pPr>
    <w:rPr>
      <w:szCs w:val="24"/>
    </w:rPr>
  </w:style>
  <w:style w:type="paragraph" w:customStyle="1" w:styleId="964">
    <w:name w:val="招标-标题1"/>
    <w:basedOn w:val="1"/>
    <w:autoRedefine/>
    <w:qFormat/>
    <w:uiPriority w:val="0"/>
    <w:pPr>
      <w:spacing w:line="300" w:lineRule="auto"/>
      <w:ind w:left="560"/>
    </w:pPr>
    <w:rPr>
      <w:rFonts w:ascii="宋体" w:hAnsi="宋体"/>
      <w:b/>
      <w:bCs/>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AF752-E416-4F6C-8A48-CA874DD6F3F3}">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48</Pages>
  <Words>20342</Words>
  <Characters>21616</Characters>
  <Lines>287</Lines>
  <Paragraphs>81</Paragraphs>
  <TotalTime>9</TotalTime>
  <ScaleCrop>false</ScaleCrop>
  <LinksUpToDate>false</LinksUpToDate>
  <CharactersWithSpaces>23646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范银霞</cp:lastModifiedBy>
  <cp:lastPrinted>2024-05-09T06:54:00Z</cp:lastPrinted>
  <dcterms:modified xsi:type="dcterms:W3CDTF">2024-07-12T06:14:41Z</dcterms:modified>
  <dc:title>杭州市市民卡扩大发卡工程</dc:title>
  <cp:revision>198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835BF77D11834F8998E53AA61DFE7BB3_13</vt:lpwstr>
  </property>
</Properties>
</file>