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E90E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6AD7E7D">
      <w:pPr>
        <w:pStyle w:val="26"/>
        <w:keepNext w:val="0"/>
        <w:keepLines w:val="0"/>
        <w:pageBreakBefore w:val="0"/>
        <w:widowControl w:val="0"/>
        <w:kinsoku/>
        <w:wordWrap/>
        <w:overflowPunct/>
        <w:topLinePunct w:val="0"/>
        <w:autoSpaceDE w:val="0"/>
        <w:autoSpaceDN w:val="0"/>
        <w:bidi w:val="0"/>
        <w:adjustRightInd w:val="0"/>
        <w:snapToGrid/>
        <w:spacing w:before="313" w:beforeLines="100"/>
        <w:jc w:val="center"/>
        <w:textAlignment w:val="auto"/>
        <w:rPr>
          <w:rFonts w:hint="eastAsia" w:ascii="宋体" w:hAnsi="宋体" w:eastAsia="宋体" w:cs="宋体"/>
          <w:color w:val="000000" w:themeColor="text1"/>
          <w:sz w:val="52"/>
          <w:szCs w:val="52"/>
          <w:highlight w:val="none"/>
          <w:lang w:eastAsia="zh-CN"/>
          <w14:textFill>
            <w14:solidFill>
              <w14:schemeClr w14:val="tx1"/>
            </w14:solidFill>
          </w14:textFill>
        </w:rPr>
      </w:pPr>
      <w:r>
        <w:rPr>
          <w:rFonts w:hint="eastAsia" w:hAnsi="宋体" w:cs="宋体"/>
          <w:color w:val="000000" w:themeColor="text1"/>
          <w:sz w:val="52"/>
          <w:szCs w:val="52"/>
          <w:highlight w:val="none"/>
          <w:lang w:eastAsia="zh-CN"/>
          <w14:textFill>
            <w14:solidFill>
              <w14:schemeClr w14:val="tx1"/>
            </w14:solidFill>
          </w14:textFill>
        </w:rPr>
        <w:t>2025年桐庐县青少年宫消防维保单位采购项目</w:t>
      </w:r>
    </w:p>
    <w:p w14:paraId="3B5AE265">
      <w:pPr>
        <w:pStyle w:val="27"/>
        <w:rPr>
          <w:rFonts w:hint="eastAsia"/>
          <w:color w:val="000000" w:themeColor="text1"/>
          <w:highlight w:val="none"/>
          <w:lang w:eastAsia="zh-CN"/>
          <w14:textFill>
            <w14:solidFill>
              <w14:schemeClr w14:val="tx1"/>
            </w14:solidFill>
          </w14:textFill>
        </w:rPr>
      </w:pPr>
    </w:p>
    <w:p w14:paraId="30ADF2AB">
      <w:pPr>
        <w:pStyle w:val="26"/>
        <w:jc w:val="center"/>
        <w:rPr>
          <w:rFonts w:hint="eastAsia" w:ascii="宋体" w:hAnsi="宋体" w:eastAsia="宋体" w:cs="宋体"/>
          <w:color w:val="000000" w:themeColor="text1"/>
          <w:sz w:val="40"/>
          <w:szCs w:val="40"/>
          <w:highlight w:val="none"/>
          <w:lang w:eastAsia="zh-CN"/>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询价文件</w:t>
      </w:r>
    </w:p>
    <w:p w14:paraId="2B1922ED">
      <w:pPr>
        <w:pStyle w:val="85"/>
        <w:jc w:val="center"/>
        <w:rPr>
          <w:rFonts w:hint="eastAsia" w:ascii="宋体" w:hAnsi="宋体" w:eastAsia="宋体" w:cs="宋体"/>
          <w:b/>
          <w:color w:val="000000" w:themeColor="text1"/>
          <w:sz w:val="44"/>
          <w:szCs w:val="44"/>
          <w:highlight w:val="none"/>
          <w14:textFill>
            <w14:solidFill>
              <w14:schemeClr w14:val="tx1"/>
            </w14:solidFill>
          </w14:textFill>
        </w:rPr>
      </w:pPr>
    </w:p>
    <w:p w14:paraId="33380F77">
      <w:pPr>
        <w:snapToGrid w:val="0"/>
        <w:spacing w:line="360" w:lineRule="auto"/>
        <w:jc w:val="center"/>
        <w:rPr>
          <w:rFonts w:hint="eastAsia" w:ascii="宋体" w:hAnsi="宋体" w:eastAsia="宋体" w:cs="宋体"/>
          <w:color w:val="000000" w:themeColor="text1"/>
          <w:sz w:val="30"/>
          <w:szCs w:val="30"/>
          <w:highlight w:val="none"/>
          <w:lang w:val="en-US"/>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cs="宋体"/>
          <w:color w:val="000000" w:themeColor="text1"/>
          <w:sz w:val="30"/>
          <w:szCs w:val="30"/>
          <w:highlight w:val="none"/>
          <w:lang w:val="en-US" w:eastAsia="zh-CN"/>
          <w14:textFill>
            <w14:solidFill>
              <w14:schemeClr w14:val="tx1"/>
            </w14:solidFill>
          </w14:textFill>
        </w:rPr>
        <w:t>HZHC-TL2025XJ-007</w:t>
      </w:r>
    </w:p>
    <w:p w14:paraId="3D58DD7A">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14:paraId="72508DED">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3FF264D5">
      <w:pPr>
        <w:pStyle w:val="83"/>
        <w:rPr>
          <w:rFonts w:hint="eastAsia" w:ascii="宋体" w:hAnsi="宋体" w:eastAsia="宋体" w:cs="宋体"/>
          <w:b/>
          <w:color w:val="000000" w:themeColor="text1"/>
          <w:sz w:val="44"/>
          <w:szCs w:val="44"/>
          <w:highlight w:val="none"/>
          <w14:textFill>
            <w14:solidFill>
              <w14:schemeClr w14:val="tx1"/>
            </w14:solidFill>
          </w14:textFill>
        </w:rPr>
      </w:pPr>
    </w:p>
    <w:p w14:paraId="799504CE">
      <w:pPr>
        <w:pStyle w:val="83"/>
        <w:rPr>
          <w:rFonts w:hint="eastAsia" w:ascii="宋体" w:hAnsi="宋体" w:eastAsia="宋体" w:cs="宋体"/>
          <w:b/>
          <w:color w:val="000000" w:themeColor="text1"/>
          <w:sz w:val="44"/>
          <w:szCs w:val="44"/>
          <w:highlight w:val="none"/>
          <w14:textFill>
            <w14:solidFill>
              <w14:schemeClr w14:val="tx1"/>
            </w14:solidFill>
          </w14:textFill>
        </w:rPr>
      </w:pPr>
    </w:p>
    <w:p w14:paraId="2394DA1F">
      <w:pPr>
        <w:pStyle w:val="83"/>
        <w:rPr>
          <w:rFonts w:hint="eastAsia" w:ascii="宋体" w:hAnsi="宋体" w:eastAsia="宋体" w:cs="宋体"/>
          <w:b/>
          <w:color w:val="000000" w:themeColor="text1"/>
          <w:sz w:val="44"/>
          <w:szCs w:val="44"/>
          <w:highlight w:val="none"/>
          <w14:textFill>
            <w14:solidFill>
              <w14:schemeClr w14:val="tx1"/>
            </w14:solidFill>
          </w14:textFill>
        </w:rPr>
      </w:pPr>
    </w:p>
    <w:p w14:paraId="43240C65">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568A1360">
      <w:pPr>
        <w:pStyle w:val="2"/>
        <w:rPr>
          <w:rFonts w:hint="eastAsia"/>
          <w:color w:val="000000" w:themeColor="text1"/>
          <w:highlight w:val="none"/>
          <w14:textFill>
            <w14:solidFill>
              <w14:schemeClr w14:val="tx1"/>
            </w14:solidFill>
          </w14:textFill>
        </w:rPr>
      </w:pPr>
    </w:p>
    <w:p w14:paraId="151F5472">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613118D5">
      <w:pPr>
        <w:pStyle w:val="2"/>
        <w:rPr>
          <w:rFonts w:hint="eastAsia"/>
          <w:color w:val="000000" w:themeColor="text1"/>
          <w:highlight w:val="none"/>
          <w14:textFill>
            <w14:solidFill>
              <w14:schemeClr w14:val="tx1"/>
            </w14:solidFill>
          </w14:textFill>
        </w:rPr>
      </w:pPr>
    </w:p>
    <w:p w14:paraId="410A8FD5">
      <w:pPr>
        <w:pStyle w:val="81"/>
        <w:rPr>
          <w:rFonts w:hint="eastAsia"/>
          <w:color w:val="000000" w:themeColor="text1"/>
          <w:highlight w:val="none"/>
          <w14:textFill>
            <w14:solidFill>
              <w14:schemeClr w14:val="tx1"/>
            </w14:solidFill>
          </w14:textFill>
        </w:rPr>
      </w:pPr>
    </w:p>
    <w:p w14:paraId="792D5355">
      <w:pPr>
        <w:snapToGrid w:val="0"/>
        <w:spacing w:line="480" w:lineRule="auto"/>
        <w:ind w:firstLine="640" w:firstLineChars="200"/>
        <w:jc w:val="both"/>
        <w:rPr>
          <w:rFonts w:hint="eastAsia" w:ascii="宋体" w:hAnsi="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购</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人</w:t>
      </w:r>
      <w:r>
        <w:rPr>
          <w:rFonts w:hint="eastAsia" w:ascii="宋体" w:hAnsi="宋体" w:eastAsia="宋体" w:cs="宋体"/>
          <w:color w:val="000000" w:themeColor="text1"/>
          <w:sz w:val="32"/>
          <w:szCs w:val="32"/>
          <w:highlight w:val="none"/>
          <w:lang w:eastAsia="zh-CN"/>
          <w14:textFill>
            <w14:solidFill>
              <w14:schemeClr w14:val="tx1"/>
            </w14:solidFill>
          </w14:textFill>
        </w:rPr>
        <w:t>（盖</w:t>
      </w:r>
      <w:r>
        <w:rPr>
          <w:rFonts w:hint="eastAsia" w:ascii="宋体" w:hAnsi="宋体" w:eastAsia="宋体" w:cs="宋体"/>
          <w:bCs/>
          <w:color w:val="000000" w:themeColor="text1"/>
          <w:sz w:val="32"/>
          <w:szCs w:val="32"/>
          <w:highlight w:val="none"/>
          <w:lang w:eastAsia="zh-CN"/>
          <w14:textFill>
            <w14:solidFill>
              <w14:schemeClr w14:val="tx1"/>
            </w14:solidFill>
          </w14:textFill>
        </w:rPr>
        <w:t>公章）</w:t>
      </w:r>
      <w:r>
        <w:rPr>
          <w:rFonts w:hint="eastAsia" w:ascii="宋体" w:hAnsi="宋体" w:eastAsia="宋体" w:cs="宋体"/>
          <w:bCs/>
          <w:color w:val="000000" w:themeColor="text1"/>
          <w:sz w:val="32"/>
          <w:szCs w:val="32"/>
          <w:highlight w:val="none"/>
          <w14:textFill>
            <w14:solidFill>
              <w14:schemeClr w14:val="tx1"/>
            </w14:solidFill>
          </w14:textFill>
        </w:rPr>
        <w:t>：</w:t>
      </w:r>
      <w:r>
        <w:rPr>
          <w:rFonts w:hint="eastAsia" w:ascii="宋体" w:hAnsi="宋体" w:cs="宋体"/>
          <w:bCs/>
          <w:color w:val="000000" w:themeColor="text1"/>
          <w:sz w:val="32"/>
          <w:szCs w:val="32"/>
          <w:highlight w:val="none"/>
          <w:lang w:eastAsia="zh-CN"/>
          <w14:textFill>
            <w14:solidFill>
              <w14:schemeClr w14:val="tx1"/>
            </w14:solidFill>
          </w14:textFill>
        </w:rPr>
        <w:t>桐庐县青少年宫</w:t>
      </w:r>
    </w:p>
    <w:p w14:paraId="5C7106AA">
      <w:pPr>
        <w:snapToGrid w:val="0"/>
        <w:spacing w:line="480" w:lineRule="auto"/>
        <w:ind w:firstLine="640" w:firstLineChars="200"/>
        <w:jc w:val="both"/>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采购代理机构</w:t>
      </w:r>
      <w:r>
        <w:rPr>
          <w:rFonts w:hint="eastAsia" w:ascii="宋体" w:hAnsi="宋体" w:eastAsia="宋体" w:cs="宋体"/>
          <w:color w:val="000000" w:themeColor="text1"/>
          <w:sz w:val="32"/>
          <w:szCs w:val="32"/>
          <w:highlight w:val="none"/>
          <w:lang w:eastAsia="zh-CN"/>
          <w14:textFill>
            <w14:solidFill>
              <w14:schemeClr w14:val="tx1"/>
            </w14:solidFill>
          </w14:textFill>
        </w:rPr>
        <w:t>（盖公章）</w:t>
      </w:r>
      <w:r>
        <w:rPr>
          <w:rFonts w:hint="eastAsia" w:ascii="宋体" w:hAnsi="宋体" w:eastAsia="宋体" w:cs="宋体"/>
          <w:bCs/>
          <w:color w:val="000000" w:themeColor="text1"/>
          <w:sz w:val="32"/>
          <w:szCs w:val="32"/>
          <w:highlight w:val="none"/>
          <w14:textFill>
            <w14:solidFill>
              <w14:schemeClr w14:val="tx1"/>
            </w14:solidFill>
          </w14:textFill>
        </w:rPr>
        <w:t>：</w:t>
      </w:r>
      <w:r>
        <w:rPr>
          <w:rFonts w:hint="eastAsia" w:ascii="宋体" w:hAnsi="宋体" w:cs="宋体"/>
          <w:bCs/>
          <w:color w:val="000000" w:themeColor="text1"/>
          <w:sz w:val="32"/>
          <w:szCs w:val="32"/>
          <w:highlight w:val="none"/>
          <w:lang w:eastAsia="zh-CN"/>
          <w14:textFill>
            <w14:solidFill>
              <w14:schemeClr w14:val="tx1"/>
            </w14:solidFill>
          </w14:textFill>
        </w:rPr>
        <w:t>杭州恒城工程管理有限公司</w:t>
      </w:r>
    </w:p>
    <w:p w14:paraId="6CB972E1">
      <w:pPr>
        <w:snapToGrid w:val="0"/>
        <w:spacing w:line="48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五</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九</w:t>
      </w:r>
      <w:r>
        <w:rPr>
          <w:rFonts w:hint="eastAsia" w:ascii="宋体" w:hAnsi="宋体" w:eastAsia="宋体" w:cs="宋体"/>
          <w:bCs/>
          <w:color w:val="000000" w:themeColor="text1"/>
          <w:sz w:val="32"/>
          <w:szCs w:val="32"/>
          <w:highlight w:val="none"/>
          <w14:textFill>
            <w14:solidFill>
              <w14:schemeClr w14:val="tx1"/>
            </w14:solidFill>
          </w14:textFill>
        </w:rPr>
        <w:t>月</w:t>
      </w:r>
    </w:p>
    <w:p w14:paraId="1DD703A8">
      <w:pPr>
        <w:pStyle w:val="2"/>
        <w:rPr>
          <w:rFonts w:hint="eastAsia"/>
          <w:color w:val="000000" w:themeColor="text1"/>
          <w:highlight w:val="none"/>
          <w14:textFill>
            <w14:solidFill>
              <w14:schemeClr w14:val="tx1"/>
            </w14:solidFill>
          </w14:textFill>
        </w:rPr>
      </w:pPr>
    </w:p>
    <w:p w14:paraId="41397270">
      <w:pPr>
        <w:spacing w:line="360" w:lineRule="auto"/>
        <w:jc w:val="center"/>
        <w:rPr>
          <w:rFonts w:hint="eastAsia"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温馨提醒</w:t>
      </w:r>
    </w:p>
    <w:p w14:paraId="5F24C958">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p>
    <w:p w14:paraId="47676FAC">
      <w:pPr>
        <w:numPr>
          <w:ilvl w:val="0"/>
          <w:numId w:val="0"/>
        </w:num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投标文件应按招标文件要求将“资格文件</w:t>
      </w:r>
      <w:r>
        <w:rPr>
          <w:rFonts w:hint="eastAsia" w:ascii="宋体" w:hAnsi="宋体" w:eastAsia="宋体" w:cs="宋体"/>
          <w:color w:val="000000" w:themeColor="text1"/>
          <w:sz w:val="32"/>
          <w:szCs w:val="32"/>
          <w:highlight w:val="none"/>
          <w:lang w:eastAsia="zh-CN"/>
          <w14:textFill>
            <w14:solidFill>
              <w14:schemeClr w14:val="tx1"/>
            </w14:solidFill>
          </w14:textFill>
        </w:rPr>
        <w:t>（一正两副）</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和</w:t>
      </w:r>
      <w:r>
        <w:rPr>
          <w:rFonts w:hint="eastAsia" w:ascii="宋体" w:hAnsi="宋体" w:eastAsia="宋体" w:cs="宋体"/>
          <w:color w:val="000000" w:themeColor="text1"/>
          <w:sz w:val="32"/>
          <w:szCs w:val="32"/>
          <w:highlight w:val="none"/>
          <w14:textFill>
            <w14:solidFill>
              <w14:schemeClr w14:val="tx1"/>
            </w14:solidFill>
          </w14:textFill>
        </w:rPr>
        <w:t>“报价文件</w:t>
      </w:r>
      <w:r>
        <w:rPr>
          <w:rFonts w:hint="eastAsia" w:ascii="宋体" w:hAnsi="宋体" w:eastAsia="宋体" w:cs="宋体"/>
          <w:color w:val="000000" w:themeColor="text1"/>
          <w:sz w:val="32"/>
          <w:szCs w:val="32"/>
          <w:highlight w:val="none"/>
          <w:lang w:eastAsia="zh-CN"/>
          <w14:textFill>
            <w14:solidFill>
              <w14:schemeClr w14:val="tx1"/>
            </w14:solidFill>
          </w14:textFill>
        </w:rPr>
        <w:t>（一正两副）</w:t>
      </w:r>
      <w:r>
        <w:rPr>
          <w:rFonts w:hint="eastAsia" w:ascii="宋体" w:hAnsi="宋体" w:eastAsia="宋体" w:cs="宋体"/>
          <w:color w:val="000000" w:themeColor="text1"/>
          <w:sz w:val="32"/>
          <w:szCs w:val="32"/>
          <w:highlight w:val="none"/>
          <w14:textFill>
            <w14:solidFill>
              <w14:schemeClr w14:val="tx1"/>
            </w14:solidFill>
          </w14:textFill>
        </w:rPr>
        <w:t>”分别编制、装订成册、包封。</w:t>
      </w:r>
    </w:p>
    <w:p w14:paraId="18707C01">
      <w:pPr>
        <w:pStyle w:val="37"/>
        <w:rPr>
          <w:rFonts w:hint="eastAsia" w:ascii="宋体" w:hAnsi="宋体" w:eastAsia="宋体" w:cs="宋体"/>
          <w:color w:val="000000" w:themeColor="text1"/>
          <w:highlight w:val="none"/>
          <w14:textFill>
            <w14:solidFill>
              <w14:schemeClr w14:val="tx1"/>
            </w14:solidFill>
          </w14:textFill>
        </w:rPr>
      </w:pPr>
    </w:p>
    <w:p w14:paraId="19514A27">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2.</w:t>
      </w:r>
      <w:r>
        <w:rPr>
          <w:rFonts w:hint="eastAsia" w:ascii="宋体" w:hAnsi="宋体" w:eastAsia="宋体" w:cs="宋体"/>
          <w:color w:val="000000" w:themeColor="text1"/>
          <w:sz w:val="32"/>
          <w:szCs w:val="32"/>
          <w:highlight w:val="none"/>
          <w14:textFill>
            <w14:solidFill>
              <w14:schemeClr w14:val="tx1"/>
            </w14:solidFill>
          </w14:textFill>
        </w:rPr>
        <w:t>资格文件中不得出现涉及投标价格的内容，否则作无效标处理。</w:t>
      </w:r>
    </w:p>
    <w:p w14:paraId="3867DAC1">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14:paraId="580203EC">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14:paraId="2DF1E325">
      <w:pPr>
        <w:pStyle w:val="2"/>
        <w:rPr>
          <w:rFonts w:hint="eastAsia" w:ascii="宋体" w:hAnsi="宋体" w:eastAsia="宋体" w:cs="宋体"/>
          <w:b/>
          <w:color w:val="000000" w:themeColor="text1"/>
          <w:sz w:val="48"/>
          <w:szCs w:val="48"/>
          <w:highlight w:val="none"/>
          <w14:textFill>
            <w14:solidFill>
              <w14:schemeClr w14:val="tx1"/>
            </w14:solidFill>
          </w14:textFill>
        </w:rPr>
      </w:pPr>
    </w:p>
    <w:p w14:paraId="3C6EB144">
      <w:pPr>
        <w:rPr>
          <w:rFonts w:hint="eastAsia" w:ascii="宋体" w:hAnsi="宋体" w:eastAsia="宋体" w:cs="宋体"/>
          <w:b/>
          <w:color w:val="000000" w:themeColor="text1"/>
          <w:sz w:val="48"/>
          <w:szCs w:val="48"/>
          <w:highlight w:val="none"/>
          <w14:textFill>
            <w14:solidFill>
              <w14:schemeClr w14:val="tx1"/>
            </w14:solidFill>
          </w14:textFill>
        </w:rPr>
      </w:pPr>
    </w:p>
    <w:p w14:paraId="2E84EA3A">
      <w:pPr>
        <w:pStyle w:val="2"/>
        <w:rPr>
          <w:rFonts w:hint="eastAsia" w:ascii="宋体" w:hAnsi="宋体" w:eastAsia="宋体" w:cs="宋体"/>
          <w:b/>
          <w:color w:val="000000" w:themeColor="text1"/>
          <w:sz w:val="48"/>
          <w:szCs w:val="48"/>
          <w:highlight w:val="none"/>
          <w14:textFill>
            <w14:solidFill>
              <w14:schemeClr w14:val="tx1"/>
            </w14:solidFill>
          </w14:textFill>
        </w:rPr>
      </w:pPr>
    </w:p>
    <w:p w14:paraId="75350DFE">
      <w:pPr>
        <w:rPr>
          <w:rFonts w:hint="eastAsia" w:ascii="宋体" w:hAnsi="宋体" w:eastAsia="宋体" w:cs="宋体"/>
          <w:b/>
          <w:color w:val="000000" w:themeColor="text1"/>
          <w:sz w:val="48"/>
          <w:szCs w:val="48"/>
          <w:highlight w:val="none"/>
          <w14:textFill>
            <w14:solidFill>
              <w14:schemeClr w14:val="tx1"/>
            </w14:solidFill>
          </w14:textFill>
        </w:rPr>
      </w:pPr>
    </w:p>
    <w:p w14:paraId="41572E10">
      <w:pPr>
        <w:pStyle w:val="2"/>
        <w:rPr>
          <w:rFonts w:hint="eastAsia" w:ascii="宋体" w:hAnsi="宋体" w:eastAsia="宋体" w:cs="宋体"/>
          <w:b/>
          <w:color w:val="000000" w:themeColor="text1"/>
          <w:sz w:val="48"/>
          <w:szCs w:val="48"/>
          <w:highlight w:val="none"/>
          <w14:textFill>
            <w14:solidFill>
              <w14:schemeClr w14:val="tx1"/>
            </w14:solidFill>
          </w14:textFill>
        </w:rPr>
      </w:pPr>
    </w:p>
    <w:p w14:paraId="2F567535">
      <w:pPr>
        <w:rPr>
          <w:rFonts w:hint="eastAsia" w:ascii="宋体" w:hAnsi="宋体" w:eastAsia="宋体" w:cs="宋体"/>
          <w:b/>
          <w:color w:val="000000" w:themeColor="text1"/>
          <w:sz w:val="48"/>
          <w:szCs w:val="48"/>
          <w:highlight w:val="none"/>
          <w14:textFill>
            <w14:solidFill>
              <w14:schemeClr w14:val="tx1"/>
            </w14:solidFill>
          </w14:textFill>
        </w:rPr>
      </w:pPr>
    </w:p>
    <w:p w14:paraId="53BABE88">
      <w:pPr>
        <w:pStyle w:val="2"/>
        <w:rPr>
          <w:rFonts w:hint="eastAsia" w:ascii="宋体" w:hAnsi="宋体" w:eastAsia="宋体" w:cs="宋体"/>
          <w:b/>
          <w:color w:val="000000" w:themeColor="text1"/>
          <w:sz w:val="48"/>
          <w:szCs w:val="48"/>
          <w:highlight w:val="none"/>
          <w14:textFill>
            <w14:solidFill>
              <w14:schemeClr w14:val="tx1"/>
            </w14:solidFill>
          </w14:textFill>
        </w:rPr>
      </w:pPr>
    </w:p>
    <w:p w14:paraId="66FE1BE6">
      <w:pPr>
        <w:rPr>
          <w:rFonts w:hint="eastAsia" w:ascii="宋体" w:hAnsi="宋体" w:eastAsia="宋体" w:cs="宋体"/>
          <w:b/>
          <w:color w:val="000000" w:themeColor="text1"/>
          <w:sz w:val="48"/>
          <w:szCs w:val="48"/>
          <w:highlight w:val="none"/>
          <w14:textFill>
            <w14:solidFill>
              <w14:schemeClr w14:val="tx1"/>
            </w14:solidFill>
          </w14:textFill>
        </w:rPr>
      </w:pPr>
    </w:p>
    <w:p w14:paraId="23ADF654">
      <w:pPr>
        <w:pStyle w:val="2"/>
        <w:rPr>
          <w:rFonts w:hint="eastAsia" w:ascii="宋体" w:hAnsi="宋体" w:eastAsia="宋体" w:cs="宋体"/>
          <w:b/>
          <w:color w:val="000000" w:themeColor="text1"/>
          <w:sz w:val="48"/>
          <w:szCs w:val="48"/>
          <w:highlight w:val="none"/>
          <w14:textFill>
            <w14:solidFill>
              <w14:schemeClr w14:val="tx1"/>
            </w14:solidFill>
          </w14:textFill>
        </w:rPr>
      </w:pPr>
    </w:p>
    <w:p w14:paraId="26BED79C">
      <w:pPr>
        <w:rPr>
          <w:rFonts w:hint="eastAsia"/>
          <w:color w:val="000000" w:themeColor="text1"/>
          <w:highlight w:val="none"/>
          <w14:textFill>
            <w14:solidFill>
              <w14:schemeClr w14:val="tx1"/>
            </w14:solidFill>
          </w14:textFill>
        </w:rPr>
      </w:pPr>
    </w:p>
    <w:p w14:paraId="10405BFA">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738F3AA6">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5D633465">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396C99EF">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2884F262">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第二部分      </w:t>
      </w:r>
      <w:r>
        <w:rPr>
          <w:rFonts w:hint="eastAsia" w:ascii="宋体" w:hAnsi="宋体" w:cs="宋体"/>
          <w:color w:val="000000" w:themeColor="text1"/>
          <w:sz w:val="32"/>
          <w:szCs w:val="32"/>
          <w:highlight w:val="none"/>
          <w:lang w:eastAsia="zh-CN"/>
          <w14:textFill>
            <w14:solidFill>
              <w14:schemeClr w14:val="tx1"/>
            </w14:solidFill>
          </w14:textFill>
        </w:rPr>
        <w:t>投标单位</w:t>
      </w:r>
      <w:r>
        <w:rPr>
          <w:rFonts w:hint="eastAsia" w:ascii="宋体" w:hAnsi="宋体" w:eastAsia="宋体" w:cs="宋体"/>
          <w:color w:val="000000" w:themeColor="text1"/>
          <w:sz w:val="32"/>
          <w:szCs w:val="32"/>
          <w:highlight w:val="none"/>
          <w14:textFill>
            <w14:solidFill>
              <w14:schemeClr w14:val="tx1"/>
            </w14:solidFill>
          </w14:textFill>
        </w:rPr>
        <w:t>须知</w:t>
      </w:r>
    </w:p>
    <w:p w14:paraId="71208D3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600EE6B9">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52D5FEB2">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131F073E">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1D05C777">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0" w:name="_Hlt91233176"/>
      <w:bookmarkEnd w:id="0"/>
      <w:bookmarkStart w:id="1" w:name="_Toc91899869"/>
    </w:p>
    <w:p w14:paraId="529605AB">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5C7930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63CFA3C">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62F28D3">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FA282B5">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5F5882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3211006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54A194B">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133D1C0D">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38F449F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5AF1141">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0A1E463">
      <w:pPr>
        <w:pStyle w:val="37"/>
        <w:rPr>
          <w:rFonts w:hint="eastAsia" w:ascii="宋体" w:hAnsi="宋体" w:eastAsia="宋体" w:cs="宋体"/>
          <w:color w:val="000000" w:themeColor="text1"/>
          <w:sz w:val="24"/>
          <w:highlight w:val="none"/>
          <w14:textFill>
            <w14:solidFill>
              <w14:schemeClr w14:val="tx1"/>
            </w14:solidFill>
          </w14:textFill>
        </w:rPr>
      </w:pPr>
    </w:p>
    <w:p w14:paraId="38FA902F">
      <w:pPr>
        <w:rPr>
          <w:rFonts w:hint="eastAsia"/>
          <w:color w:val="000000" w:themeColor="text1"/>
          <w:highlight w:val="none"/>
          <w14:textFill>
            <w14:solidFill>
              <w14:schemeClr w14:val="tx1"/>
            </w14:solidFill>
          </w14:textFill>
        </w:rPr>
      </w:pPr>
    </w:p>
    <w:p w14:paraId="696CC4C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bookmarkEnd w:id="1"/>
    <w:p w14:paraId="0E91CA14">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sectPr>
          <w:headerReference r:id="rId3" w:type="default"/>
          <w:pgSz w:w="11906" w:h="16838"/>
          <w:pgMar w:top="1440" w:right="1587" w:bottom="1440" w:left="1587" w:header="851" w:footer="992" w:gutter="0"/>
          <w:pgNumType w:start="1"/>
          <w:cols w:space="720" w:num="1"/>
          <w:docGrid w:linePitch="312" w:charSpace="0"/>
        </w:sectPr>
      </w:pPr>
      <w:bookmarkStart w:id="2" w:name="第二部分"/>
      <w:bookmarkStart w:id="3" w:name="_Toc91899870"/>
      <w:bookmarkStart w:id="4" w:name="_Toc91899871"/>
    </w:p>
    <w:p w14:paraId="4030AD00">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741DE2B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72E504E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2025年桐庐县青少年宫消防维保单位采购项目</w:t>
      </w:r>
      <w:r>
        <w:rPr>
          <w:rFonts w:hint="eastAsia" w:ascii="宋体" w:hAnsi="宋体" w:eastAsia="宋体" w:cs="宋体"/>
          <w:color w:val="000000" w:themeColor="text1"/>
          <w:sz w:val="24"/>
          <w:highlight w:val="none"/>
          <w14:textFill>
            <w14:solidFill>
              <w14:schemeClr w14:val="tx1"/>
            </w14:solidFill>
          </w14:textFill>
        </w:rPr>
        <w:t>的潜在</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应在</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lang w:eastAsia="zh-CN"/>
          <w14:textFill>
            <w14:solidFill>
              <w14:schemeClr w14:val="tx1"/>
            </w14:solidFill>
          </w14:textFill>
        </w:rPr>
        <w:t>桐庐县青少年宫官</w:t>
      </w:r>
      <w:r>
        <w:rPr>
          <w:rFonts w:hint="eastAsia" w:ascii="宋体" w:hAnsi="宋体" w:eastAsia="宋体" w:cs="宋体"/>
          <w:color w:val="000000" w:themeColor="text1"/>
          <w:sz w:val="24"/>
          <w:highlight w:val="none"/>
          <w14:textFill>
            <w14:solidFill>
              <w14:schemeClr w14:val="tx1"/>
            </w14:solidFill>
          </w14:textFill>
        </w:rPr>
        <w:t>网（https://tl.qsng.cn/index.htm）获取（下载）招标文件，并于</w:t>
      </w:r>
      <w:r>
        <w:rPr>
          <w:rFonts w:hint="eastAsia" w:ascii="宋体" w:hAnsi="宋体" w:cs="宋体"/>
          <w:color w:val="000000" w:themeColor="text1"/>
          <w:sz w:val="24"/>
          <w:highlight w:val="none"/>
          <w:u w:val="single"/>
          <w:lang w:eastAsia="zh-CN"/>
          <w14:textFill>
            <w14:solidFill>
              <w14:schemeClr w14:val="tx1"/>
            </w14:solidFill>
          </w14:textFill>
        </w:rPr>
        <w:t>2025年09月01日09点00分00秒</w:t>
      </w:r>
      <w:r>
        <w:rPr>
          <w:rFonts w:hint="eastAsia" w:ascii="宋体" w:hAnsi="宋体" w:eastAsia="宋体" w:cs="宋体"/>
          <w:color w:val="000000" w:themeColor="text1"/>
          <w:sz w:val="24"/>
          <w:highlight w:val="none"/>
          <w:u w:val="singl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将投标文件送至</w:t>
      </w:r>
      <w:r>
        <w:rPr>
          <w:rFonts w:hint="eastAsia" w:ascii="宋体" w:hAnsi="宋体" w:eastAsia="宋体" w:cs="宋体"/>
          <w:color w:val="000000" w:themeColor="text1"/>
          <w:sz w:val="24"/>
          <w:highlight w:val="none"/>
          <w:lang w:eastAsia="zh-CN"/>
          <w14:textFill>
            <w14:solidFill>
              <w14:schemeClr w14:val="tx1"/>
            </w14:solidFill>
          </w14:textFill>
        </w:rPr>
        <w:t>桐庐县青少年宫6号楼2楼会议室</w:t>
      </w:r>
      <w:r>
        <w:rPr>
          <w:rFonts w:hint="eastAsia" w:ascii="宋体" w:hAnsi="宋体" w:eastAsia="宋体" w:cs="宋体"/>
          <w:color w:val="000000" w:themeColor="text1"/>
          <w:sz w:val="24"/>
          <w:highlight w:val="none"/>
          <w14:textFill>
            <w14:solidFill>
              <w14:schemeClr w14:val="tx1"/>
            </w14:solidFill>
          </w14:textFill>
        </w:rPr>
        <w:t>，逾期送达作无效标处理。</w:t>
      </w:r>
    </w:p>
    <w:p w14:paraId="13728A32">
      <w:pPr>
        <w:keepNext w:val="0"/>
        <w:keepLines w:val="0"/>
        <w:pageBreakBefore w:val="0"/>
        <w:widowControl w:val="0"/>
        <w:kinsoku/>
        <w:wordWrap/>
        <w:overflowPunct/>
        <w:topLinePunct w:val="0"/>
        <w:autoSpaceDE/>
        <w:autoSpaceDN/>
        <w:bidi w:val="0"/>
        <w:adjustRightInd w:val="0"/>
        <w:snapToGrid/>
        <w:spacing w:before="313" w:beforeLines="100"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6B732761">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val="en-US" w:eastAsia="zh-CN"/>
          <w14:textFill>
            <w14:solidFill>
              <w14:schemeClr w14:val="tx1"/>
            </w14:solidFill>
          </w14:textFill>
        </w:rPr>
        <w:t>HZHC-TL2025XJ-007</w:t>
      </w:r>
    </w:p>
    <w:p w14:paraId="258FBC82">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2025年桐庐县青少年宫消防维保单位采购项目</w:t>
      </w:r>
      <w:bookmarkStart w:id="437" w:name="_GoBack"/>
      <w:bookmarkEnd w:id="437"/>
    </w:p>
    <w:p w14:paraId="1FDB2200">
      <w:pPr>
        <w:spacing w:line="360" w:lineRule="auto"/>
        <w:ind w:firstLine="482" w:firstLineChars="200"/>
        <w:rPr>
          <w:rFonts w:hint="eastAsia" w:ascii="仿宋" w:hAnsi="仿宋" w:eastAsia="仿宋" w:cs="仿宋"/>
          <w:sz w:val="24"/>
        </w:rPr>
      </w:pPr>
      <w:r>
        <w:rPr>
          <w:rFonts w:hint="eastAsia" w:ascii="宋体" w:hAnsi="宋体" w:eastAsia="宋体" w:cs="宋体"/>
          <w:b/>
          <w:color w:val="000000" w:themeColor="text1"/>
          <w:sz w:val="24"/>
          <w:highlight w:val="none"/>
          <w14:textFill>
            <w14:solidFill>
              <w14:schemeClr w14:val="tx1"/>
            </w14:solidFill>
          </w14:textFill>
        </w:rPr>
        <w:t>采购方式</w:t>
      </w:r>
      <w:r>
        <w:rPr>
          <w:rFonts w:hint="eastAsia" w:ascii="仿宋" w:hAnsi="仿宋" w:eastAsia="仿宋" w:cs="仿宋"/>
          <w:b/>
          <w:sz w:val="24"/>
        </w:rPr>
        <w:t>：</w:t>
      </w:r>
      <w:r>
        <w:rPr>
          <w:rFonts w:hint="eastAsia" w:ascii="宋体" w:hAnsi="宋体" w:eastAsia="宋体" w:cs="宋体"/>
          <w:color w:val="000000" w:themeColor="text1"/>
          <w:sz w:val="24"/>
          <w:highlight w:val="none"/>
          <w:lang w:eastAsia="zh-CN"/>
          <w14:textFill>
            <w14:solidFill>
              <w14:schemeClr w14:val="tx1"/>
            </w14:solidFill>
          </w14:textFill>
        </w:rPr>
        <w:t>询价采购</w:t>
      </w:r>
    </w:p>
    <w:p w14:paraId="48BA1CB8">
      <w:pPr>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采购内容及数量：</w:t>
      </w:r>
    </w:p>
    <w:tbl>
      <w:tblPr>
        <w:tblStyle w:val="62"/>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491"/>
        <w:gridCol w:w="764"/>
        <w:gridCol w:w="1472"/>
        <w:gridCol w:w="3571"/>
      </w:tblGrid>
      <w:tr w14:paraId="7176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816" w:type="dxa"/>
            <w:noWrap w:val="0"/>
            <w:vAlign w:val="center"/>
          </w:tcPr>
          <w:p w14:paraId="5F776A43">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序号</w:t>
            </w:r>
          </w:p>
        </w:tc>
        <w:tc>
          <w:tcPr>
            <w:tcW w:w="3491" w:type="dxa"/>
            <w:noWrap w:val="0"/>
            <w:vAlign w:val="center"/>
          </w:tcPr>
          <w:p w14:paraId="16FD0657">
            <w:pPr>
              <w:spacing w:line="360" w:lineRule="auto"/>
              <w:ind w:firstLine="482" w:firstLineChars="200"/>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名称</w:t>
            </w:r>
          </w:p>
        </w:tc>
        <w:tc>
          <w:tcPr>
            <w:tcW w:w="764" w:type="dxa"/>
            <w:noWrap w:val="0"/>
            <w:vAlign w:val="center"/>
          </w:tcPr>
          <w:p w14:paraId="29EFE1D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472" w:type="dxa"/>
            <w:noWrap w:val="0"/>
            <w:vAlign w:val="center"/>
          </w:tcPr>
          <w:p w14:paraId="3AD7497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w:t>
            </w:r>
          </w:p>
          <w:p w14:paraId="6DF0D7ED">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（万元）</w:t>
            </w:r>
          </w:p>
        </w:tc>
        <w:tc>
          <w:tcPr>
            <w:tcW w:w="3571" w:type="dxa"/>
            <w:noWrap w:val="0"/>
            <w:vAlign w:val="center"/>
          </w:tcPr>
          <w:p w14:paraId="515153E5">
            <w:pPr>
              <w:spacing w:line="360" w:lineRule="auto"/>
              <w:ind w:firstLine="482" w:firstLineChars="200"/>
              <w:jc w:val="center"/>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服务期</w:t>
            </w:r>
          </w:p>
        </w:tc>
      </w:tr>
      <w:tr w14:paraId="7652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16" w:type="dxa"/>
            <w:noWrap w:val="0"/>
            <w:vAlign w:val="center"/>
          </w:tcPr>
          <w:p w14:paraId="6197E732">
            <w:pPr>
              <w:spacing w:line="360" w:lineRule="auto"/>
              <w:ind w:firstLine="240" w:firstLineChars="10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w:t>
            </w:r>
          </w:p>
        </w:tc>
        <w:tc>
          <w:tcPr>
            <w:tcW w:w="3491" w:type="dxa"/>
            <w:noWrap w:val="0"/>
            <w:vAlign w:val="center"/>
          </w:tcPr>
          <w:p w14:paraId="671175D0">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2025年桐庐县青少年宫消防维保单位采购项目</w:t>
            </w:r>
          </w:p>
        </w:tc>
        <w:tc>
          <w:tcPr>
            <w:tcW w:w="764" w:type="dxa"/>
            <w:noWrap w:val="0"/>
            <w:vAlign w:val="center"/>
          </w:tcPr>
          <w:p w14:paraId="6E8C684D">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1项</w:t>
            </w:r>
          </w:p>
        </w:tc>
        <w:tc>
          <w:tcPr>
            <w:tcW w:w="1472" w:type="dxa"/>
            <w:noWrap w:val="0"/>
            <w:vAlign w:val="center"/>
          </w:tcPr>
          <w:p w14:paraId="56373503">
            <w:pPr>
              <w:spacing w:line="360" w:lineRule="auto"/>
              <w:ind w:firstLine="480"/>
              <w:jc w:val="both"/>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1.5</w:t>
            </w:r>
          </w:p>
        </w:tc>
        <w:tc>
          <w:tcPr>
            <w:tcW w:w="3571" w:type="dxa"/>
            <w:noWrap w:val="0"/>
            <w:vAlign w:val="center"/>
          </w:tcPr>
          <w:p w14:paraId="161EABB2">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一年，具体起止时间以合同签订为准。</w:t>
            </w:r>
          </w:p>
        </w:tc>
      </w:tr>
    </w:tbl>
    <w:p w14:paraId="059D8662">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73084915">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14:textFill>
            <w14:solidFill>
              <w14:schemeClr w14:val="tx1"/>
            </w14:solidFill>
          </w14:textFill>
        </w:rPr>
        <w:t>、中国政府采购网（www.ccgp.gov.cn）列入失信被执行人、重大税收违法案件当事人名单、采购严重违法失信行为记录名单；</w:t>
      </w:r>
    </w:p>
    <w:p w14:paraId="7DE1D220">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.落实采购政策需满足的资格要求</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14:paraId="1FAEEF77">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sym w:font="Wingdings" w:char="00FE"/>
      </w:r>
      <w:r>
        <w:rPr>
          <w:rFonts w:hint="eastAsia" w:ascii="宋体" w:hAnsi="宋体" w:eastAsia="宋体" w:cs="宋体"/>
          <w:snapToGrid w:val="0"/>
          <w:color w:val="000000" w:themeColor="text1"/>
          <w:kern w:val="28"/>
          <w:sz w:val="24"/>
          <w:szCs w:val="20"/>
          <w:highlight w:val="none"/>
          <w14:textFill>
            <w14:solidFill>
              <w14:schemeClr w14:val="tx1"/>
            </w14:solidFill>
          </w14:textFill>
        </w:rPr>
        <w:t>专门面向中小企业</w:t>
      </w:r>
    </w:p>
    <w:p w14:paraId="607BA6E4">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sym w:font="Wingdings" w:char="00FE"/>
      </w:r>
      <w:r>
        <w:rPr>
          <w:rFonts w:hint="eastAsia" w:ascii="宋体" w:hAnsi="宋体" w:eastAsia="宋体" w:cs="宋体"/>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14:paraId="6A2BDDE1">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sym w:font="Wingdings" w:char="00FE"/>
      </w:r>
      <w:r>
        <w:rPr>
          <w:rFonts w:hint="eastAsia" w:ascii="宋体" w:hAnsi="宋体" w:eastAsia="宋体" w:cs="宋体"/>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14:paraId="71A2E87E">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28"/>
          <w:sz w:val="24"/>
          <w:szCs w:val="20"/>
          <w:highlight w:val="none"/>
          <w14:textFill>
            <w14:solidFill>
              <w14:schemeClr w14:val="tx1"/>
            </w14:solidFill>
          </w14:textFill>
        </w:rPr>
        <w:t>.单位负责人为同一人或者存在直接控股、管理关系的不同</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投标单位</w:t>
      </w:r>
      <w:r>
        <w:rPr>
          <w:rFonts w:hint="eastAsia" w:ascii="宋体" w:hAnsi="宋体" w:eastAsia="宋体" w:cs="宋体"/>
          <w:snapToGrid w:val="0"/>
          <w:color w:val="000000" w:themeColor="text1"/>
          <w:kern w:val="28"/>
          <w:sz w:val="24"/>
          <w:szCs w:val="20"/>
          <w:highlight w:val="none"/>
          <w14:textFill>
            <w14:solidFill>
              <w14:schemeClr w14:val="tx1"/>
            </w14:solidFill>
          </w14:textFill>
        </w:rPr>
        <w:t>，不得参加同一合同项下的采购活动；为采购项目提供整体设计、规范编制或者项目管理、监理、检测等服务后不得再参加该采购项目的其他采购活动。</w:t>
      </w:r>
    </w:p>
    <w:p w14:paraId="09F8688E">
      <w:pPr>
        <w:spacing w:line="360" w:lineRule="auto"/>
        <w:ind w:firstLine="48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.法律、行政法规规定的其他条件。</w:t>
      </w:r>
    </w:p>
    <w:p w14:paraId="779EFF4B">
      <w:pPr>
        <w:spacing w:line="360" w:lineRule="auto"/>
        <w:ind w:firstLine="48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.本项目不接受联合体投标。</w:t>
      </w:r>
    </w:p>
    <w:p w14:paraId="3D8C4852">
      <w:pPr>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snapToGrid w:val="0"/>
          <w:color w:val="000000" w:themeColor="text1"/>
          <w:kern w:val="28"/>
          <w:sz w:val="24"/>
          <w:szCs w:val="20"/>
          <w:highlight w:val="none"/>
          <w:lang w:val="en-US" w:eastAsia="zh-CN"/>
          <w14:textFill>
            <w14:solidFill>
              <w14:schemeClr w14:val="tx1"/>
            </w14:solidFill>
          </w14:textFill>
        </w:rPr>
        <w:t>6</w:t>
      </w:r>
      <w:r>
        <w:rPr>
          <w:rFonts w:hint="eastAsia" w:ascii="宋体" w:hAnsi="宋体" w:eastAsia="宋体" w:cs="宋体"/>
          <w:b/>
          <w:bCs/>
          <w:snapToGrid w:val="0"/>
          <w:color w:val="000000" w:themeColor="text1"/>
          <w:kern w:val="28"/>
          <w:sz w:val="24"/>
          <w:szCs w:val="20"/>
          <w:highlight w:val="none"/>
          <w:lang w:val="en-US" w:eastAsia="zh-CN"/>
          <w14:textFill>
            <w14:solidFill>
              <w14:schemeClr w14:val="tx1"/>
            </w14:solidFill>
          </w14:textFill>
        </w:rPr>
        <w:t>.本项目特定资格条件：</w:t>
      </w:r>
      <w:r>
        <w:rPr>
          <w:rFonts w:hint="eastAsia" w:ascii="宋体" w:hAnsi="宋体" w:cs="宋体"/>
          <w:b/>
          <w:bCs/>
          <w:color w:val="000000" w:themeColor="text1"/>
          <w:sz w:val="24"/>
          <w:szCs w:val="24"/>
          <w:highlight w:val="none"/>
          <w:lang w:val="en-US" w:eastAsia="zh-CN"/>
          <w14:textFill>
            <w14:solidFill>
              <w14:schemeClr w14:val="tx1"/>
            </w14:solidFill>
          </w14:textFill>
        </w:rPr>
        <w:t>无</w:t>
      </w:r>
    </w:p>
    <w:p w14:paraId="00E7683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192CBCC5">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lang w:val="en-US" w:eastAsia="zh-CN"/>
          <w14:textFill>
            <w14:solidFill>
              <w14:schemeClr w14:val="tx1"/>
            </w14:solidFill>
          </w14:textFill>
        </w:rPr>
        <w:t>发布公告之日起</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eastAsia="zh-CN"/>
          <w14:textFill>
            <w14:solidFill>
              <w14:schemeClr w14:val="tx1"/>
            </w14:solidFill>
          </w14:textFill>
        </w:rPr>
        <w:t>2025年09月01日09点00分00秒</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B82AE87">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b/>
          <w:color w:val="000000" w:themeColor="text1"/>
          <w:sz w:val="24"/>
          <w:highlight w:val="none"/>
          <w:lang w:eastAsia="zh-CN"/>
          <w14:textFill>
            <w14:solidFill>
              <w14:schemeClr w14:val="tx1"/>
            </w14:solidFill>
          </w14:textFill>
        </w:rPr>
        <w:t>桐庐县青少年宫官</w:t>
      </w:r>
      <w:r>
        <w:rPr>
          <w:rFonts w:hint="eastAsia" w:ascii="宋体" w:hAnsi="宋体" w:eastAsia="宋体" w:cs="宋体"/>
          <w:b/>
          <w:color w:val="000000" w:themeColor="text1"/>
          <w:sz w:val="24"/>
          <w:highlight w:val="none"/>
          <w14:textFill>
            <w14:solidFill>
              <w14:schemeClr w14:val="tx1"/>
            </w14:solidFill>
          </w14:textFill>
        </w:rPr>
        <w:t>网（https://tl.qsng.cn/index.htm）</w:t>
      </w:r>
    </w:p>
    <w:p w14:paraId="40C71A6C">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b/>
          <w:color w:val="000000" w:themeColor="text1"/>
          <w:sz w:val="24"/>
          <w:highlight w:val="none"/>
          <w:lang w:val="en-US" w:eastAsia="zh-CN"/>
          <w14:textFill>
            <w14:solidFill>
              <w14:schemeClr w14:val="tx1"/>
            </w14:solidFill>
          </w14:textFill>
        </w:rPr>
        <w:t>投标单位</w:t>
      </w:r>
      <w:r>
        <w:rPr>
          <w:rFonts w:hint="eastAsia" w:ascii="宋体" w:hAnsi="宋体" w:eastAsia="宋体" w:cs="宋体"/>
          <w:b/>
          <w:color w:val="000000" w:themeColor="text1"/>
          <w:sz w:val="24"/>
          <w:highlight w:val="none"/>
          <w:lang w:eastAsia="zh-CN"/>
          <w14:textFill>
            <w14:solidFill>
              <w14:schemeClr w14:val="tx1"/>
            </w14:solidFill>
          </w14:textFill>
        </w:rPr>
        <w:t>登录桐庐县青少年宫官</w:t>
      </w:r>
      <w:r>
        <w:rPr>
          <w:rFonts w:hint="eastAsia" w:ascii="宋体" w:hAnsi="宋体" w:eastAsia="宋体" w:cs="宋体"/>
          <w:b/>
          <w:color w:val="000000" w:themeColor="text1"/>
          <w:sz w:val="24"/>
          <w:highlight w:val="none"/>
          <w14:textFill>
            <w14:solidFill>
              <w14:schemeClr w14:val="tx1"/>
            </w14:solidFill>
          </w14:textFill>
        </w:rPr>
        <w:t>网（https://tl.qsng.cn/index.htm）</w:t>
      </w:r>
      <w:r>
        <w:rPr>
          <w:rFonts w:hint="eastAsia" w:ascii="宋体" w:hAnsi="宋体" w:eastAsia="宋体" w:cs="宋体"/>
          <w:b/>
          <w:color w:val="000000" w:themeColor="text1"/>
          <w:sz w:val="24"/>
          <w:highlight w:val="none"/>
          <w:lang w:eastAsia="zh-CN"/>
          <w14:textFill>
            <w14:solidFill>
              <w14:schemeClr w14:val="tx1"/>
            </w14:solidFill>
          </w14:textFill>
        </w:rPr>
        <w:t>中心要闻</w:t>
      </w:r>
      <w:r>
        <w:rPr>
          <w:rFonts w:hint="eastAsia" w:ascii="宋体" w:hAnsi="宋体" w:eastAsia="宋体" w:cs="宋体"/>
          <w:b/>
          <w:color w:val="000000" w:themeColor="text1"/>
          <w:sz w:val="24"/>
          <w:highlight w:val="none"/>
          <w14:textFill>
            <w14:solidFill>
              <w14:schemeClr w14:val="tx1"/>
            </w14:solidFill>
          </w14:textFill>
        </w:rPr>
        <w:t>区域获取采购文件。</w:t>
      </w:r>
    </w:p>
    <w:p w14:paraId="6A3DCD56">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735D4179">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lang w:eastAsia="zh-CN"/>
          <w14:textFill>
            <w14:solidFill>
              <w14:schemeClr w14:val="tx1"/>
            </w14:solidFill>
          </w14:textFill>
        </w:rPr>
        <w:t>2025年09月01日09点00分00秒</w:t>
      </w:r>
      <w:r>
        <w:rPr>
          <w:rFonts w:hint="eastAsia" w:ascii="宋体" w:hAnsi="宋体" w:eastAsia="宋体" w:cs="宋体"/>
          <w:color w:val="000000" w:themeColor="text1"/>
          <w:sz w:val="24"/>
          <w:highlight w:val="none"/>
          <w14:textFill>
            <w14:solidFill>
              <w14:schemeClr w14:val="tx1"/>
            </w14:solidFill>
          </w14:textFill>
        </w:rPr>
        <w:t>（北京时间）</w:t>
      </w:r>
    </w:p>
    <w:p w14:paraId="5CAEA3A1">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w:t>
      </w:r>
      <w:r>
        <w:rPr>
          <w:rFonts w:hint="eastAsia" w:ascii="宋体" w:hAnsi="宋体" w:eastAsia="宋体" w:cs="宋体"/>
          <w:color w:val="000000" w:themeColor="text1"/>
          <w:sz w:val="24"/>
          <w:highlight w:val="none"/>
          <w:lang w:eastAsia="zh-CN"/>
          <w14:textFill>
            <w14:solidFill>
              <w14:schemeClr w14:val="tx1"/>
            </w14:solidFill>
          </w14:textFill>
        </w:rPr>
        <w:t>桐庐县青少年宫6号楼2楼会议室</w:t>
      </w:r>
    </w:p>
    <w:p w14:paraId="145492D8">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lang w:eastAsia="zh-CN"/>
          <w14:textFill>
            <w14:solidFill>
              <w14:schemeClr w14:val="tx1"/>
            </w14:solidFill>
          </w14:textFill>
        </w:rPr>
        <w:t>2025年09月01日09点00分00秒</w:t>
      </w:r>
    </w:p>
    <w:p w14:paraId="5D8F1385">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w:t>
      </w:r>
      <w:r>
        <w:rPr>
          <w:rFonts w:hint="eastAsia" w:ascii="宋体" w:hAnsi="宋体" w:eastAsia="宋体" w:cs="宋体"/>
          <w:color w:val="000000" w:themeColor="text1"/>
          <w:sz w:val="24"/>
          <w:highlight w:val="none"/>
          <w:lang w:eastAsia="zh-CN"/>
          <w14:textFill>
            <w14:solidFill>
              <w14:schemeClr w14:val="tx1"/>
            </w14:solidFill>
          </w14:textFill>
        </w:rPr>
        <w:t>桐庐县青少年宫6号楼2楼会议室</w:t>
      </w:r>
    </w:p>
    <w:p w14:paraId="06E42F6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1133E5A5">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自本公告发布之日起</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个工作日。</w:t>
      </w:r>
    </w:p>
    <w:p w14:paraId="0DF8693A">
      <w:pPr>
        <w:numPr>
          <w:ilvl w:val="0"/>
          <w:numId w:val="0"/>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其他补充事宜</w:t>
      </w:r>
    </w:p>
    <w:p w14:paraId="39BFC465">
      <w:pPr>
        <w:spacing w:line="360" w:lineRule="auto"/>
        <w:ind w:firstLine="480" w:firstLineChars="20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和采购代理机构提出质疑。质疑</w:t>
      </w:r>
      <w:r>
        <w:rPr>
          <w:rFonts w:hint="eastAsia" w:ascii="宋体" w:hAnsi="宋体" w:cs="宋体"/>
          <w:color w:val="000000" w:themeColor="text1"/>
          <w:sz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、采购代理机构的答复不满意或者</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、采购代理机构未在规定的时间内作出答复的，可以在答复期满后十五个工作日内向同级采购监督管理部门投诉。质疑函范本、投诉书范本请到浙江政府采购网下载专区下载。</w:t>
      </w:r>
      <w:bookmarkStart w:id="5" w:name="_Toc21908"/>
      <w:bookmarkStart w:id="6" w:name="_Toc1184"/>
      <w:bookmarkStart w:id="7" w:name="_Toc16431"/>
    </w:p>
    <w:p w14:paraId="5F83140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七、</w:t>
      </w:r>
      <w:bookmarkEnd w:id="5"/>
      <w:bookmarkEnd w:id="6"/>
      <w:bookmarkEnd w:id="7"/>
      <w:r>
        <w:rPr>
          <w:rFonts w:hint="eastAsia" w:ascii="宋体" w:hAnsi="宋体" w:eastAsia="宋体" w:cs="宋体"/>
          <w:b/>
          <w:color w:val="000000" w:themeColor="text1"/>
          <w:sz w:val="24"/>
          <w:highlight w:val="none"/>
          <w14:textFill>
            <w14:solidFill>
              <w14:schemeClr w14:val="tx1"/>
            </w14:solidFill>
          </w14:textFill>
        </w:rPr>
        <w:t>对本次采购提出询问、质疑、投诉，请按以下方式联系</w:t>
      </w:r>
    </w:p>
    <w:p w14:paraId="42386CB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信息</w:t>
      </w:r>
    </w:p>
    <w:p w14:paraId="2B2315B4">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名    称：桐庐县青少年宫</w:t>
      </w:r>
    </w:p>
    <w:p w14:paraId="2DFBAD18">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    地址：桐庐县城南街道白云源路1588号</w:t>
      </w:r>
    </w:p>
    <w:p w14:paraId="3900F895">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项目联系人（询问）：范银霞</w:t>
      </w:r>
    </w:p>
    <w:p w14:paraId="4576B565">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项目联系方式（询问）：</w:t>
      </w:r>
      <w:r>
        <w:rPr>
          <w:rFonts w:hint="eastAsia" w:ascii="宋体" w:hAnsi="宋体" w:eastAsia="宋体" w:cs="宋体"/>
          <w:color w:val="000000" w:themeColor="text1"/>
          <w:sz w:val="24"/>
          <w:highlight w:val="none"/>
          <w:lang w:val="en-US" w:eastAsia="zh-CN"/>
          <w14:textFill>
            <w14:solidFill>
              <w14:schemeClr w14:val="tx1"/>
            </w14:solidFill>
          </w14:textFill>
        </w:rPr>
        <w:t>15957165500</w:t>
      </w:r>
    </w:p>
    <w:p w14:paraId="4C578CC7">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0A0B79C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2.采购代理机构信息           </w:t>
      </w:r>
      <w:r>
        <w:rPr>
          <w:rFonts w:hint="eastAsia" w:ascii="宋体" w:hAnsi="宋体" w:eastAsia="宋体" w:cs="宋体"/>
          <w:color w:val="000000" w:themeColor="text1"/>
          <w:sz w:val="24"/>
          <w:highlight w:val="none"/>
          <w14:textFill>
            <w14:solidFill>
              <w14:schemeClr w14:val="tx1"/>
            </w14:solidFill>
          </w14:textFill>
        </w:rPr>
        <w:t xml:space="preserve"> </w:t>
      </w:r>
    </w:p>
    <w:p w14:paraId="0827FC63">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杭州恒城工程管理有限公司</w:t>
      </w:r>
    </w:p>
    <w:p w14:paraId="6F78C619">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lang w:eastAsia="zh-CN"/>
          <w14:textFill>
            <w14:solidFill>
              <w14:schemeClr w14:val="tx1"/>
            </w14:solidFill>
          </w14:textFill>
        </w:rPr>
        <w:t>桐庐县瑶琳西路312号</w:t>
      </w:r>
      <w:r>
        <w:rPr>
          <w:rFonts w:hint="eastAsia" w:ascii="宋体" w:hAnsi="宋体" w:eastAsia="宋体" w:cs="宋体"/>
          <w:color w:val="000000" w:themeColor="text1"/>
          <w:sz w:val="24"/>
          <w:highlight w:val="none"/>
          <w14:textFill>
            <w14:solidFill>
              <w14:schemeClr w14:val="tx1"/>
            </w14:solidFill>
          </w14:textFill>
        </w:rPr>
        <w:t xml:space="preserve">           </w:t>
      </w:r>
    </w:p>
    <w:p w14:paraId="3F6F5D8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eastAsia="zh-CN"/>
          <w14:textFill>
            <w14:solidFill>
              <w14:schemeClr w14:val="tx1"/>
            </w14:solidFill>
          </w14:textFill>
        </w:rPr>
        <w:t>周祎苗</w:t>
      </w:r>
      <w:r>
        <w:rPr>
          <w:rFonts w:hint="eastAsia" w:ascii="宋体" w:hAnsi="宋体" w:eastAsia="宋体" w:cs="宋体"/>
          <w:color w:val="000000" w:themeColor="text1"/>
          <w:sz w:val="24"/>
          <w:highlight w:val="none"/>
          <w14:textFill>
            <w14:solidFill>
              <w14:schemeClr w14:val="tx1"/>
            </w14:solidFill>
          </w14:textFill>
        </w:rPr>
        <w:t xml:space="preserve">         </w:t>
      </w:r>
    </w:p>
    <w:p w14:paraId="43F7F862">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 </w:t>
      </w:r>
      <w:r>
        <w:rPr>
          <w:rFonts w:hint="eastAsia" w:ascii="宋体" w:hAnsi="宋体" w:cs="宋体"/>
          <w:color w:val="000000" w:themeColor="text1"/>
          <w:sz w:val="24"/>
          <w:highlight w:val="none"/>
          <w:lang w:eastAsia="zh-CN"/>
          <w14:textFill>
            <w14:solidFill>
              <w14:schemeClr w14:val="tx1"/>
            </w14:solidFill>
          </w14:textFill>
        </w:rPr>
        <w:t>13456870536</w:t>
      </w:r>
    </w:p>
    <w:p w14:paraId="25489912">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7286EBB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994895A">
      <w:pPr>
        <w:pStyle w:val="83"/>
        <w:rPr>
          <w:rFonts w:hint="eastAsia" w:ascii="宋体" w:hAnsi="宋体" w:eastAsia="宋体" w:cs="宋体"/>
          <w:color w:val="000000" w:themeColor="text1"/>
          <w:highlight w:val="none"/>
          <w14:textFill>
            <w14:solidFill>
              <w14:schemeClr w14:val="tx1"/>
            </w14:solidFill>
          </w14:textFill>
        </w:rPr>
      </w:pPr>
    </w:p>
    <w:p w14:paraId="280CED5B">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20ADA48C">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29D1EB9E">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2B162252">
      <w:pPr>
        <w:pStyle w:val="83"/>
        <w:rPr>
          <w:rFonts w:hint="eastAsia" w:ascii="宋体" w:hAnsi="宋体" w:eastAsia="宋体" w:cs="宋体"/>
          <w:color w:val="000000" w:themeColor="text1"/>
          <w:highlight w:val="none"/>
          <w:lang w:val="en-US" w:eastAsia="zh-CN"/>
          <w14:textFill>
            <w14:solidFill>
              <w14:schemeClr w14:val="tx1"/>
            </w14:solidFill>
          </w14:textFill>
        </w:rPr>
      </w:pPr>
    </w:p>
    <w:p w14:paraId="1CF3FF19">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054EE0A8">
      <w:pPr>
        <w:pStyle w:val="83"/>
        <w:rPr>
          <w:rFonts w:hint="eastAsia" w:ascii="宋体" w:hAnsi="宋体" w:eastAsia="宋体" w:cs="宋体"/>
          <w:color w:val="000000" w:themeColor="text1"/>
          <w:highlight w:val="none"/>
          <w:lang w:val="en-US" w:eastAsia="zh-CN"/>
          <w14:textFill>
            <w14:solidFill>
              <w14:schemeClr w14:val="tx1"/>
            </w14:solidFill>
          </w14:textFill>
        </w:rPr>
      </w:pPr>
    </w:p>
    <w:p w14:paraId="687961B8">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2DCEA10E">
      <w:pPr>
        <w:pStyle w:val="2"/>
        <w:rPr>
          <w:rFonts w:hint="eastAsia" w:ascii="宋体" w:hAnsi="宋体" w:eastAsia="宋体" w:cs="宋体"/>
          <w:color w:val="000000" w:themeColor="text1"/>
          <w:sz w:val="24"/>
          <w:highlight w:val="none"/>
          <w:lang w:val="en-US" w:eastAsia="zh-CN"/>
          <w14:textFill>
            <w14:solidFill>
              <w14:schemeClr w14:val="tx1"/>
            </w14:solidFill>
          </w14:textFill>
        </w:rPr>
      </w:pPr>
    </w:p>
    <w:p w14:paraId="1305AB27">
      <w:pPr>
        <w:rPr>
          <w:rFonts w:hint="eastAsia" w:ascii="宋体" w:hAnsi="宋体" w:eastAsia="宋体" w:cs="宋体"/>
          <w:color w:val="000000" w:themeColor="text1"/>
          <w:sz w:val="24"/>
          <w:highlight w:val="none"/>
          <w:lang w:val="en-US" w:eastAsia="zh-CN"/>
          <w14:textFill>
            <w14:solidFill>
              <w14:schemeClr w14:val="tx1"/>
            </w14:solidFill>
          </w14:textFill>
        </w:rPr>
      </w:pPr>
    </w:p>
    <w:p w14:paraId="67B6FAC6">
      <w:pPr>
        <w:pStyle w:val="83"/>
        <w:rPr>
          <w:rFonts w:hint="eastAsia" w:ascii="宋体" w:hAnsi="宋体" w:eastAsia="宋体" w:cs="宋体"/>
          <w:color w:val="000000" w:themeColor="text1"/>
          <w:sz w:val="24"/>
          <w:highlight w:val="none"/>
          <w:lang w:val="en-US" w:eastAsia="zh-CN"/>
          <w14:textFill>
            <w14:solidFill>
              <w14:schemeClr w14:val="tx1"/>
            </w14:solidFill>
          </w14:textFill>
        </w:rPr>
      </w:pPr>
    </w:p>
    <w:p w14:paraId="69EB59E3">
      <w:pPr>
        <w:pStyle w:val="83"/>
        <w:rPr>
          <w:rFonts w:hint="eastAsia" w:ascii="宋体" w:hAnsi="宋体" w:eastAsia="宋体" w:cs="宋体"/>
          <w:color w:val="000000" w:themeColor="text1"/>
          <w:sz w:val="24"/>
          <w:highlight w:val="none"/>
          <w:lang w:val="en-US" w:eastAsia="zh-CN"/>
          <w14:textFill>
            <w14:solidFill>
              <w14:schemeClr w14:val="tx1"/>
            </w14:solidFill>
          </w14:textFill>
        </w:rPr>
      </w:pPr>
    </w:p>
    <w:p w14:paraId="09874A85">
      <w:pPr>
        <w:pStyle w:val="83"/>
        <w:rPr>
          <w:rFonts w:hint="eastAsia" w:ascii="宋体" w:hAnsi="宋体" w:eastAsia="宋体" w:cs="宋体"/>
          <w:color w:val="000000" w:themeColor="text1"/>
          <w:sz w:val="24"/>
          <w:highlight w:val="none"/>
          <w:lang w:val="en-US" w:eastAsia="zh-CN"/>
          <w14:textFill>
            <w14:solidFill>
              <w14:schemeClr w14:val="tx1"/>
            </w14:solidFill>
          </w14:textFill>
        </w:rPr>
      </w:pPr>
    </w:p>
    <w:p w14:paraId="25DA2672">
      <w:pPr>
        <w:pStyle w:val="83"/>
        <w:rPr>
          <w:rFonts w:hint="eastAsia" w:ascii="宋体" w:hAnsi="宋体" w:eastAsia="宋体" w:cs="宋体"/>
          <w:color w:val="000000" w:themeColor="text1"/>
          <w:sz w:val="24"/>
          <w:highlight w:val="none"/>
          <w:lang w:val="en-US" w:eastAsia="zh-CN"/>
          <w14:textFill>
            <w14:solidFill>
              <w14:schemeClr w14:val="tx1"/>
            </w14:solidFill>
          </w14:textFill>
        </w:rPr>
      </w:pPr>
    </w:p>
    <w:p w14:paraId="63A72F7F">
      <w:pPr>
        <w:pStyle w:val="2"/>
        <w:rPr>
          <w:rFonts w:hint="eastAsia" w:ascii="宋体" w:hAnsi="宋体" w:eastAsia="宋体" w:cs="宋体"/>
          <w:color w:val="000000" w:themeColor="text1"/>
          <w:sz w:val="24"/>
          <w:highlight w:val="none"/>
          <w:lang w:val="en-US" w:eastAsia="zh-CN"/>
          <w14:textFill>
            <w14:solidFill>
              <w14:schemeClr w14:val="tx1"/>
            </w14:solidFill>
          </w14:textFill>
        </w:rPr>
      </w:pPr>
    </w:p>
    <w:p w14:paraId="05A692CD">
      <w:pPr>
        <w:rPr>
          <w:rFonts w:hint="eastAsia" w:ascii="宋体" w:hAnsi="宋体" w:eastAsia="宋体" w:cs="宋体"/>
          <w:color w:val="000000" w:themeColor="text1"/>
          <w:sz w:val="24"/>
          <w:highlight w:val="none"/>
          <w:lang w:val="en-US" w:eastAsia="zh-CN"/>
          <w14:textFill>
            <w14:solidFill>
              <w14:schemeClr w14:val="tx1"/>
            </w14:solidFill>
          </w14:textFill>
        </w:rPr>
      </w:pPr>
    </w:p>
    <w:p w14:paraId="4FA85827">
      <w:pPr>
        <w:pStyle w:val="2"/>
        <w:rPr>
          <w:rFonts w:hint="eastAsia" w:ascii="宋体" w:hAnsi="宋体" w:eastAsia="宋体" w:cs="宋体"/>
          <w:color w:val="000000" w:themeColor="text1"/>
          <w:sz w:val="24"/>
          <w:highlight w:val="none"/>
          <w:lang w:val="en-US" w:eastAsia="zh-CN"/>
          <w14:textFill>
            <w14:solidFill>
              <w14:schemeClr w14:val="tx1"/>
            </w14:solidFill>
          </w14:textFill>
        </w:rPr>
      </w:pPr>
    </w:p>
    <w:p w14:paraId="56E8B889">
      <w:pPr>
        <w:rPr>
          <w:rFonts w:hint="eastAsia" w:ascii="宋体" w:hAnsi="宋体" w:eastAsia="宋体" w:cs="宋体"/>
          <w:color w:val="000000" w:themeColor="text1"/>
          <w:sz w:val="24"/>
          <w:highlight w:val="none"/>
          <w:lang w:val="en-US" w:eastAsia="zh-CN"/>
          <w14:textFill>
            <w14:solidFill>
              <w14:schemeClr w14:val="tx1"/>
            </w14:solidFill>
          </w14:textFill>
        </w:rPr>
      </w:pPr>
    </w:p>
    <w:p w14:paraId="1F47FDFD">
      <w:pPr>
        <w:pStyle w:val="81"/>
        <w:rPr>
          <w:rFonts w:hint="eastAsia" w:ascii="宋体" w:hAnsi="宋体" w:eastAsia="宋体" w:cs="宋体"/>
          <w:color w:val="000000" w:themeColor="text1"/>
          <w:sz w:val="24"/>
          <w:highlight w:val="none"/>
          <w:lang w:val="en-US" w:eastAsia="zh-CN"/>
          <w14:textFill>
            <w14:solidFill>
              <w14:schemeClr w14:val="tx1"/>
            </w14:solidFill>
          </w14:textFill>
        </w:rPr>
      </w:pPr>
    </w:p>
    <w:p w14:paraId="55859BEF">
      <w:pPr>
        <w:pStyle w:val="81"/>
        <w:rPr>
          <w:rFonts w:hint="eastAsia" w:ascii="宋体" w:hAnsi="宋体" w:eastAsia="宋体" w:cs="宋体"/>
          <w:color w:val="000000" w:themeColor="text1"/>
          <w:sz w:val="24"/>
          <w:highlight w:val="none"/>
          <w:lang w:val="en-US" w:eastAsia="zh-CN"/>
          <w14:textFill>
            <w14:solidFill>
              <w14:schemeClr w14:val="tx1"/>
            </w14:solidFill>
          </w14:textFill>
        </w:rPr>
      </w:pPr>
    </w:p>
    <w:p w14:paraId="251D4D64">
      <w:pPr>
        <w:rPr>
          <w:rFonts w:hint="eastAsia" w:ascii="宋体" w:hAnsi="宋体" w:eastAsia="宋体" w:cs="宋体"/>
          <w:color w:val="000000" w:themeColor="text1"/>
          <w:sz w:val="24"/>
          <w:highlight w:val="none"/>
          <w:lang w:val="en-US" w:eastAsia="zh-CN"/>
          <w14:textFill>
            <w14:solidFill>
              <w14:schemeClr w14:val="tx1"/>
            </w14:solidFill>
          </w14:textFill>
        </w:rPr>
      </w:pPr>
    </w:p>
    <w:p w14:paraId="7370ECC3">
      <w:pPr>
        <w:pStyle w:val="26"/>
        <w:rPr>
          <w:rFonts w:hint="eastAsia" w:ascii="宋体" w:hAnsi="宋体" w:eastAsia="宋体" w:cs="宋体"/>
          <w:color w:val="000000" w:themeColor="text1"/>
          <w:sz w:val="24"/>
          <w:highlight w:val="none"/>
          <w:lang w:val="en-US" w:eastAsia="zh-CN"/>
          <w14:textFill>
            <w14:solidFill>
              <w14:schemeClr w14:val="tx1"/>
            </w14:solidFill>
          </w14:textFill>
        </w:rPr>
      </w:pPr>
    </w:p>
    <w:p w14:paraId="3C8D4192">
      <w:pPr>
        <w:pStyle w:val="27"/>
        <w:rPr>
          <w:rFonts w:hint="eastAsia" w:ascii="宋体" w:hAnsi="宋体" w:eastAsia="宋体" w:cs="宋体"/>
          <w:color w:val="000000" w:themeColor="text1"/>
          <w:sz w:val="24"/>
          <w:highlight w:val="none"/>
          <w:lang w:val="en-US" w:eastAsia="zh-CN"/>
          <w14:textFill>
            <w14:solidFill>
              <w14:schemeClr w14:val="tx1"/>
            </w14:solidFill>
          </w14:textFill>
        </w:rPr>
      </w:pPr>
    </w:p>
    <w:p w14:paraId="3CD4FD0F">
      <w:pPr>
        <w:pStyle w:val="28"/>
        <w:rPr>
          <w:rFonts w:hint="eastAsia" w:ascii="宋体" w:hAnsi="宋体" w:eastAsia="宋体" w:cs="宋体"/>
          <w:color w:val="000000" w:themeColor="text1"/>
          <w:sz w:val="24"/>
          <w:highlight w:val="none"/>
          <w:lang w:val="en-US" w:eastAsia="zh-CN"/>
          <w14:textFill>
            <w14:solidFill>
              <w14:schemeClr w14:val="tx1"/>
            </w14:solidFill>
          </w14:textFill>
        </w:rPr>
      </w:pPr>
    </w:p>
    <w:p w14:paraId="4699F16E">
      <w:pPr>
        <w:rPr>
          <w:rFonts w:hint="eastAsia" w:ascii="宋体" w:hAnsi="宋体" w:eastAsia="宋体" w:cs="宋体"/>
          <w:color w:val="000000" w:themeColor="text1"/>
          <w:sz w:val="24"/>
          <w:highlight w:val="none"/>
          <w:lang w:val="en-US" w:eastAsia="zh-CN"/>
          <w14:textFill>
            <w14:solidFill>
              <w14:schemeClr w14:val="tx1"/>
            </w14:solidFill>
          </w14:textFill>
        </w:rPr>
      </w:pPr>
    </w:p>
    <w:p w14:paraId="7098A2CF">
      <w:pPr>
        <w:pStyle w:val="26"/>
        <w:rPr>
          <w:rFonts w:hint="eastAsia" w:ascii="宋体" w:hAnsi="宋体" w:eastAsia="宋体" w:cs="宋体"/>
          <w:color w:val="000000" w:themeColor="text1"/>
          <w:sz w:val="24"/>
          <w:highlight w:val="none"/>
          <w:lang w:val="en-US" w:eastAsia="zh-CN"/>
          <w14:textFill>
            <w14:solidFill>
              <w14:schemeClr w14:val="tx1"/>
            </w14:solidFill>
          </w14:textFill>
        </w:rPr>
      </w:pPr>
    </w:p>
    <w:p w14:paraId="52C2701E">
      <w:pPr>
        <w:spacing w:line="360" w:lineRule="auto"/>
        <w:jc w:val="both"/>
        <w:rPr>
          <w:rFonts w:hint="eastAsia" w:ascii="宋体" w:hAnsi="宋体" w:eastAsia="宋体" w:cs="宋体"/>
          <w:b/>
          <w:color w:val="000000" w:themeColor="text1"/>
          <w:sz w:val="36"/>
          <w:szCs w:val="20"/>
          <w:highlight w:val="none"/>
          <w14:textFill>
            <w14:solidFill>
              <w14:schemeClr w14:val="tx1"/>
            </w14:solidFill>
          </w14:textFill>
        </w:rPr>
      </w:pPr>
    </w:p>
    <w:p w14:paraId="50F733D9">
      <w:pPr>
        <w:spacing w:line="360" w:lineRule="auto"/>
        <w:ind w:firstLine="723" w:firstLineChars="200"/>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2"/>
      <w:r>
        <w:rPr>
          <w:rFonts w:hint="eastAsia" w:ascii="宋体" w:hAnsi="宋体" w:eastAsia="宋体" w:cs="宋体"/>
          <w:b/>
          <w:color w:val="000000" w:themeColor="text1"/>
          <w:sz w:val="36"/>
          <w:szCs w:val="20"/>
          <w:highlight w:val="none"/>
          <w14:textFill>
            <w14:solidFill>
              <w14:schemeClr w14:val="tx1"/>
            </w14:solidFill>
          </w14:textFill>
        </w:rPr>
        <w:t xml:space="preserve"> </w:t>
      </w:r>
      <w:r>
        <w:rPr>
          <w:rFonts w:hint="eastAsia" w:ascii="宋体" w:hAnsi="宋体" w:cs="宋体"/>
          <w:b/>
          <w:color w:val="000000" w:themeColor="text1"/>
          <w:sz w:val="36"/>
          <w:szCs w:val="20"/>
          <w:highlight w:val="none"/>
          <w:lang w:eastAsia="zh-CN"/>
          <w14:textFill>
            <w14:solidFill>
              <w14:schemeClr w14:val="tx1"/>
            </w14:solidFill>
          </w14:textFill>
        </w:rPr>
        <w:t>投标单位</w:t>
      </w:r>
      <w:r>
        <w:rPr>
          <w:rFonts w:hint="eastAsia" w:ascii="宋体" w:hAnsi="宋体" w:eastAsia="宋体" w:cs="宋体"/>
          <w:b/>
          <w:color w:val="000000" w:themeColor="text1"/>
          <w:sz w:val="36"/>
          <w:szCs w:val="20"/>
          <w:highlight w:val="none"/>
          <w14:textFill>
            <w14:solidFill>
              <w14:schemeClr w14:val="tx1"/>
            </w14:solidFill>
          </w14:textFill>
        </w:rPr>
        <w:t>须知</w:t>
      </w:r>
      <w:bookmarkEnd w:id="3"/>
    </w:p>
    <w:p w14:paraId="677B0E5E">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2"/>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18"/>
        <w:gridCol w:w="7069"/>
      </w:tblGrid>
      <w:tr w14:paraId="02A9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9" w:type="dxa"/>
            <w:noWrap w:val="0"/>
            <w:vAlign w:val="center"/>
          </w:tcPr>
          <w:p w14:paraId="53F85AFC">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序号</w:t>
            </w:r>
          </w:p>
        </w:tc>
        <w:tc>
          <w:tcPr>
            <w:tcW w:w="1418" w:type="dxa"/>
            <w:noWrap w:val="0"/>
            <w:vAlign w:val="center"/>
          </w:tcPr>
          <w:p w14:paraId="190E9497">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项目</w:t>
            </w:r>
          </w:p>
        </w:tc>
        <w:tc>
          <w:tcPr>
            <w:tcW w:w="7069" w:type="dxa"/>
            <w:noWrap w:val="0"/>
            <w:vAlign w:val="center"/>
          </w:tcPr>
          <w:p w14:paraId="7B80145D">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内容</w:t>
            </w:r>
          </w:p>
        </w:tc>
      </w:tr>
      <w:tr w14:paraId="1395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7DB1CFCE">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1418" w:type="dxa"/>
            <w:noWrap w:val="0"/>
            <w:vAlign w:val="center"/>
          </w:tcPr>
          <w:p w14:paraId="40904448">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采购项目</w:t>
            </w:r>
          </w:p>
        </w:tc>
        <w:tc>
          <w:tcPr>
            <w:tcW w:w="7069" w:type="dxa"/>
            <w:noWrap w:val="0"/>
            <w:vAlign w:val="center"/>
          </w:tcPr>
          <w:p w14:paraId="173AB80B">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2025年桐庐县青少年宫消防维保单位采购项目</w:t>
            </w:r>
          </w:p>
          <w:p w14:paraId="1B12AF51">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项目编号：</w:t>
            </w:r>
            <w:r>
              <w:rPr>
                <w:rFonts w:hint="eastAsia" w:ascii="宋体" w:hAnsi="宋体" w:cs="宋体"/>
                <w:color w:val="000000" w:themeColor="text1"/>
                <w:sz w:val="24"/>
                <w:highlight w:val="none"/>
                <w:lang w:val="en-US" w:eastAsia="zh-CN"/>
                <w14:textFill>
                  <w14:solidFill>
                    <w14:schemeClr w14:val="tx1"/>
                  </w14:solidFill>
                </w14:textFill>
              </w:rPr>
              <w:t>HZHC-TL2025XJ-007</w:t>
            </w:r>
          </w:p>
        </w:tc>
      </w:tr>
      <w:tr w14:paraId="0F51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9" w:type="dxa"/>
            <w:noWrap w:val="0"/>
            <w:vAlign w:val="center"/>
          </w:tcPr>
          <w:p w14:paraId="520A97CE">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1418" w:type="dxa"/>
            <w:noWrap w:val="0"/>
            <w:vAlign w:val="center"/>
          </w:tcPr>
          <w:p w14:paraId="413C2AE6">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采购方式</w:t>
            </w:r>
          </w:p>
        </w:tc>
        <w:tc>
          <w:tcPr>
            <w:tcW w:w="7069" w:type="dxa"/>
            <w:noWrap w:val="0"/>
            <w:vAlign w:val="center"/>
          </w:tcPr>
          <w:p w14:paraId="4907214F">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询价</w:t>
            </w:r>
          </w:p>
        </w:tc>
      </w:tr>
      <w:tr w14:paraId="07BE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69" w:type="dxa"/>
            <w:vMerge w:val="restart"/>
            <w:noWrap w:val="0"/>
            <w:vAlign w:val="center"/>
          </w:tcPr>
          <w:p w14:paraId="250B2891">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1418" w:type="dxa"/>
            <w:vMerge w:val="restart"/>
            <w:noWrap w:val="0"/>
            <w:vAlign w:val="center"/>
          </w:tcPr>
          <w:p w14:paraId="5A0EE452">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highlight w:val="none"/>
                <w:lang w:val="en-US" w:eastAsia="zh-CN"/>
                <w14:textFill>
                  <w14:solidFill>
                    <w14:schemeClr w14:val="tx1"/>
                  </w14:solidFill>
                </w14:textFill>
              </w:rPr>
              <w:t>应当提供的投标文件</w:t>
            </w:r>
          </w:p>
        </w:tc>
        <w:tc>
          <w:tcPr>
            <w:tcW w:w="7069" w:type="dxa"/>
            <w:noWrap w:val="0"/>
            <w:vAlign w:val="center"/>
          </w:tcPr>
          <w:p w14:paraId="04CB52AB">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（1）资格证明文件：见询价文件第二部分11.1。</w:t>
            </w:r>
          </w:p>
          <w:p w14:paraId="387356A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highlight w:val="none"/>
                <w:lang w:val="zh-CN" w:eastAsia="zh-CN"/>
                <w14:textFill>
                  <w14:solidFill>
                    <w14:schemeClr w14:val="tx1"/>
                  </w14:solidFill>
                </w14:textFill>
              </w:rPr>
              <w:t>未提供有效的资格证明文件的，视为</w:t>
            </w:r>
            <w:r>
              <w:rPr>
                <w:rFonts w:hint="eastAsia" w:ascii="宋体" w:hAnsi="宋体" w:cs="宋体"/>
                <w:color w:val="000000" w:themeColor="text1"/>
                <w:sz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highlight w:val="none"/>
                <w:lang w:val="zh-CN" w:eastAsia="zh-CN"/>
                <w14:textFill>
                  <w14:solidFill>
                    <w14:schemeClr w14:val="tx1"/>
                  </w14:solidFill>
                </w14:textFill>
              </w:rPr>
              <w:t>不具备询价文件中规定的资格要求，投标无效。</w:t>
            </w:r>
          </w:p>
        </w:tc>
      </w:tr>
      <w:tr w14:paraId="695D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noWrap w:val="0"/>
            <w:vAlign w:val="center"/>
          </w:tcPr>
          <w:p w14:paraId="5A4A2213">
            <w:pPr>
              <w:spacing w:line="360" w:lineRule="auto"/>
              <w:rPr>
                <w:rFonts w:hint="eastAsia" w:ascii="宋体" w:hAnsi="宋体" w:eastAsia="宋体" w:cs="宋体"/>
                <w:color w:val="000000" w:themeColor="text1"/>
                <w:highlight w:val="none"/>
                <w14:textFill>
                  <w14:solidFill>
                    <w14:schemeClr w14:val="tx1"/>
                  </w14:solidFill>
                </w14:textFill>
              </w:rPr>
            </w:pPr>
          </w:p>
        </w:tc>
        <w:tc>
          <w:tcPr>
            <w:tcW w:w="1418" w:type="dxa"/>
            <w:vMerge w:val="continue"/>
            <w:noWrap w:val="0"/>
            <w:vAlign w:val="center"/>
          </w:tcPr>
          <w:p w14:paraId="5ACB4FE6">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7069" w:type="dxa"/>
            <w:noWrap w:val="0"/>
            <w:vAlign w:val="center"/>
          </w:tcPr>
          <w:p w14:paraId="43CEBE6D">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（2）报价文件：根据询价文件报价文件部分提供。</w:t>
            </w:r>
          </w:p>
        </w:tc>
      </w:tr>
      <w:tr w14:paraId="4A00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69" w:type="dxa"/>
            <w:noWrap w:val="0"/>
            <w:vAlign w:val="center"/>
          </w:tcPr>
          <w:p w14:paraId="1B95392A">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418" w:type="dxa"/>
            <w:noWrap w:val="0"/>
            <w:vAlign w:val="center"/>
          </w:tcPr>
          <w:p w14:paraId="53D8E59C">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投标文件的组成</w:t>
            </w:r>
          </w:p>
        </w:tc>
        <w:tc>
          <w:tcPr>
            <w:tcW w:w="7069" w:type="dxa"/>
            <w:noWrap w:val="0"/>
            <w:vAlign w:val="center"/>
          </w:tcPr>
          <w:p w14:paraId="4DC9CBA4">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资格文件</w:t>
            </w:r>
            <w:r>
              <w:rPr>
                <w:rFonts w:hint="eastAsia" w:ascii="宋体" w:hAnsi="宋体" w:eastAsia="宋体" w:cs="宋体"/>
                <w:b/>
                <w:bCs/>
                <w:color w:val="000000" w:themeColor="text1"/>
                <w:sz w:val="24"/>
                <w:highlight w:val="none"/>
                <w:lang w:val="zh-CN" w:eastAsia="zh-CN"/>
                <w14:textFill>
                  <w14:solidFill>
                    <w14:schemeClr w14:val="tx1"/>
                  </w14:solidFill>
                </w14:textFill>
              </w:rPr>
              <w:t>、报价文件正本各1份，副本各2份分别编制并单独装订成册。</w:t>
            </w:r>
          </w:p>
        </w:tc>
      </w:tr>
      <w:tr w14:paraId="6162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noWrap w:val="0"/>
            <w:vAlign w:val="center"/>
          </w:tcPr>
          <w:p w14:paraId="01ECD1BB">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1418" w:type="dxa"/>
            <w:noWrap w:val="0"/>
            <w:vAlign w:val="center"/>
          </w:tcPr>
          <w:p w14:paraId="0E91E161">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评标程序</w:t>
            </w:r>
          </w:p>
        </w:tc>
        <w:tc>
          <w:tcPr>
            <w:tcW w:w="7069" w:type="dxa"/>
            <w:noWrap w:val="0"/>
            <w:vAlign w:val="center"/>
          </w:tcPr>
          <w:p w14:paraId="67A5C507">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详见第四部分评标办法。</w:t>
            </w:r>
          </w:p>
        </w:tc>
      </w:tr>
      <w:tr w14:paraId="432F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noWrap w:val="0"/>
            <w:vAlign w:val="center"/>
          </w:tcPr>
          <w:p w14:paraId="07D9730D">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1418" w:type="dxa"/>
            <w:noWrap w:val="0"/>
            <w:vAlign w:val="center"/>
          </w:tcPr>
          <w:p w14:paraId="1A88826C">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投标有效期</w:t>
            </w:r>
          </w:p>
        </w:tc>
        <w:tc>
          <w:tcPr>
            <w:tcW w:w="7069" w:type="dxa"/>
            <w:noWrap w:val="0"/>
            <w:vAlign w:val="center"/>
          </w:tcPr>
          <w:p w14:paraId="026AFC44">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自投标截止日起90天。</w:t>
            </w:r>
          </w:p>
        </w:tc>
      </w:tr>
      <w:tr w14:paraId="2214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486265D6">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1418" w:type="dxa"/>
            <w:noWrap w:val="0"/>
            <w:vAlign w:val="center"/>
          </w:tcPr>
          <w:p w14:paraId="150D0C83">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投标报价</w:t>
            </w:r>
          </w:p>
        </w:tc>
        <w:tc>
          <w:tcPr>
            <w:tcW w:w="7069" w:type="dxa"/>
            <w:noWrap w:val="0"/>
            <w:vAlign w:val="center"/>
          </w:tcPr>
          <w:p w14:paraId="74D0B0B4">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本项目投标应以人民币报价；</w:t>
            </w:r>
          </w:p>
          <w:p w14:paraId="25EABEE0">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不论投标结果如何，投标单位均应自行承担所有与投标有关的全部费用。</w:t>
            </w:r>
          </w:p>
        </w:tc>
      </w:tr>
      <w:tr w14:paraId="2A63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6C5B7276">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1418" w:type="dxa"/>
            <w:noWrap w:val="0"/>
            <w:vAlign w:val="center"/>
          </w:tcPr>
          <w:p w14:paraId="2464249F">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踏勘现场</w:t>
            </w:r>
          </w:p>
        </w:tc>
        <w:tc>
          <w:tcPr>
            <w:tcW w:w="7069" w:type="dxa"/>
            <w:noWrap w:val="0"/>
            <w:vAlign w:val="center"/>
          </w:tcPr>
          <w:p w14:paraId="144F25DF">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组织（详细内容）</w:t>
            </w:r>
          </w:p>
          <w:p w14:paraId="2463E218">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不组织</w:t>
            </w:r>
          </w:p>
        </w:tc>
      </w:tr>
      <w:tr w14:paraId="6FFE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3B850B96">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1418" w:type="dxa"/>
            <w:noWrap w:val="0"/>
            <w:vAlign w:val="center"/>
          </w:tcPr>
          <w:p w14:paraId="2A893A27">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样品</w:t>
            </w:r>
          </w:p>
        </w:tc>
        <w:tc>
          <w:tcPr>
            <w:tcW w:w="7069" w:type="dxa"/>
            <w:noWrap w:val="0"/>
            <w:vAlign w:val="center"/>
          </w:tcPr>
          <w:p w14:paraId="47145FBB">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提供，具体详见询价文件，中标单位提供的样品将由采购单位保管、封存并作为履约验收的参考</w:t>
            </w:r>
          </w:p>
          <w:p w14:paraId="37B0EF0F">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不提供</w:t>
            </w:r>
          </w:p>
        </w:tc>
      </w:tr>
      <w:tr w14:paraId="4484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602FFC2C">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1418" w:type="dxa"/>
            <w:noWrap w:val="0"/>
            <w:vAlign w:val="center"/>
          </w:tcPr>
          <w:p w14:paraId="606AEA91">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演示</w:t>
            </w:r>
          </w:p>
        </w:tc>
        <w:tc>
          <w:tcPr>
            <w:tcW w:w="7069" w:type="dxa"/>
            <w:noWrap w:val="0"/>
            <w:vAlign w:val="center"/>
          </w:tcPr>
          <w:p w14:paraId="7A134D4A">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要求，具体详见询价文件</w:t>
            </w:r>
          </w:p>
          <w:p w14:paraId="2D2BAE16">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不要求</w:t>
            </w:r>
          </w:p>
        </w:tc>
      </w:tr>
      <w:tr w14:paraId="71A7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59FDDAB2">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1418" w:type="dxa"/>
            <w:noWrap w:val="0"/>
            <w:vAlign w:val="center"/>
          </w:tcPr>
          <w:p w14:paraId="3399823B">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评标办法</w:t>
            </w:r>
          </w:p>
        </w:tc>
        <w:tc>
          <w:tcPr>
            <w:tcW w:w="7069" w:type="dxa"/>
            <w:noWrap w:val="0"/>
            <w:vAlign w:val="center"/>
          </w:tcPr>
          <w:p w14:paraId="4E8A154E">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综合评分法</w:t>
            </w:r>
          </w:p>
          <w:p w14:paraId="7A0D010D">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☑最低价评标价法</w:t>
            </w:r>
          </w:p>
        </w:tc>
      </w:tr>
      <w:tr w14:paraId="59C1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3670C1F5">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1418" w:type="dxa"/>
            <w:noWrap w:val="0"/>
            <w:vAlign w:val="center"/>
          </w:tcPr>
          <w:p w14:paraId="6A591077">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节能产品</w:t>
            </w:r>
          </w:p>
        </w:tc>
        <w:tc>
          <w:tcPr>
            <w:tcW w:w="7069" w:type="dxa"/>
            <w:noWrap w:val="0"/>
            <w:vAlign w:val="center"/>
          </w:tcPr>
          <w:p w14:paraId="30A067A8">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强制采购节能产品</w:t>
            </w:r>
          </w:p>
          <w:p w14:paraId="5D3911F4">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优先采购节能产品</w:t>
            </w:r>
          </w:p>
          <w:p w14:paraId="37C5A5F3">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不适用</w:t>
            </w:r>
          </w:p>
        </w:tc>
      </w:tr>
      <w:tr w14:paraId="331D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5FBBF0F3">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1418" w:type="dxa"/>
            <w:noWrap w:val="0"/>
            <w:vAlign w:val="center"/>
          </w:tcPr>
          <w:p w14:paraId="68C32B88">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合同签订</w:t>
            </w:r>
          </w:p>
        </w:tc>
        <w:tc>
          <w:tcPr>
            <w:tcW w:w="7069" w:type="dxa"/>
            <w:noWrap w:val="0"/>
            <w:vAlign w:val="center"/>
          </w:tcPr>
          <w:p w14:paraId="10F3ED85">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单位与中标单位应当在《中标通知书》发出之日起30日内签订采购合同。同时，采购代理机构对合同内容进行审查，如发现与采购结果和投标承诺内容不一致的，应予以纠正。中标单位拖延、拒签合同的，将被取消中标资格。</w:t>
            </w:r>
          </w:p>
        </w:tc>
      </w:tr>
      <w:tr w14:paraId="5ADB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26C172B8">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1418" w:type="dxa"/>
            <w:noWrap w:val="0"/>
            <w:vAlign w:val="center"/>
          </w:tcPr>
          <w:p w14:paraId="1374CBFB">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履约保证金</w:t>
            </w:r>
          </w:p>
        </w:tc>
        <w:tc>
          <w:tcPr>
            <w:tcW w:w="7069" w:type="dxa"/>
            <w:noWrap w:val="0"/>
            <w:vAlign w:val="center"/>
          </w:tcPr>
          <w:p w14:paraId="5E056728">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无</w:t>
            </w:r>
          </w:p>
        </w:tc>
      </w:tr>
      <w:tr w14:paraId="531E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09700798">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5</w:t>
            </w:r>
          </w:p>
        </w:tc>
        <w:tc>
          <w:tcPr>
            <w:tcW w:w="1418" w:type="dxa"/>
            <w:noWrap w:val="0"/>
            <w:vAlign w:val="center"/>
          </w:tcPr>
          <w:p w14:paraId="3984F600">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代理服务费</w:t>
            </w:r>
          </w:p>
        </w:tc>
        <w:tc>
          <w:tcPr>
            <w:tcW w:w="7069" w:type="dxa"/>
            <w:noWrap w:val="0"/>
            <w:vAlign w:val="center"/>
          </w:tcPr>
          <w:p w14:paraId="45821B67">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本次招标代理费为</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00元</w:t>
            </w:r>
            <w:r>
              <w:rPr>
                <w:rFonts w:hint="eastAsia" w:ascii="宋体" w:hAnsi="宋体" w:cs="宋体"/>
                <w:color w:val="000000" w:themeColor="text1"/>
                <w:sz w:val="24"/>
                <w:highlight w:val="none"/>
                <w:lang w:val="en-US" w:eastAsia="zh-CN"/>
                <w14:textFill>
                  <w14:solidFill>
                    <w14:schemeClr w14:val="tx1"/>
                  </w14:solidFill>
                </w14:textFill>
              </w:rPr>
              <w:t>（不含专家费）</w:t>
            </w:r>
            <w:r>
              <w:rPr>
                <w:rFonts w:hint="eastAsia" w:ascii="宋体" w:hAnsi="宋体" w:eastAsia="宋体" w:cs="宋体"/>
                <w:color w:val="000000" w:themeColor="text1"/>
                <w:sz w:val="24"/>
                <w:highlight w:val="none"/>
                <w:lang w:val="en-US" w:eastAsia="zh-CN"/>
                <w14:textFill>
                  <w14:solidFill>
                    <w14:schemeClr w14:val="tx1"/>
                  </w14:solidFill>
                </w14:textFill>
              </w:rPr>
              <w:t>，由中标单位支付。</w:t>
            </w:r>
          </w:p>
          <w:p w14:paraId="01C72090">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采购代理服务费由中标单位在收到中标通知书时以人民币方式向采购代理机构支付。</w:t>
            </w:r>
          </w:p>
        </w:tc>
      </w:tr>
      <w:tr w14:paraId="42FB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77D15AE7">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1418" w:type="dxa"/>
            <w:noWrap w:val="0"/>
            <w:vAlign w:val="center"/>
          </w:tcPr>
          <w:p w14:paraId="46505867">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解释权</w:t>
            </w:r>
          </w:p>
        </w:tc>
        <w:tc>
          <w:tcPr>
            <w:tcW w:w="7069" w:type="dxa"/>
            <w:noWrap w:val="0"/>
            <w:vAlign w:val="center"/>
          </w:tcPr>
          <w:p w14:paraId="7AC3A0EE">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本询价文件的解释权属于采购单位。</w:t>
            </w:r>
          </w:p>
        </w:tc>
      </w:tr>
    </w:tbl>
    <w:p w14:paraId="352CC242">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19D55C4D">
      <w:pPr>
        <w:pStyle w:val="26"/>
        <w:rPr>
          <w:rFonts w:hint="eastAsia" w:ascii="宋体" w:hAnsi="宋体" w:eastAsia="宋体" w:cs="宋体"/>
          <w:color w:val="000000" w:themeColor="text1"/>
          <w:sz w:val="24"/>
          <w:highlight w:val="none"/>
          <w:lang w:val="en-US" w:eastAsia="zh-CN"/>
          <w14:textFill>
            <w14:solidFill>
              <w14:schemeClr w14:val="tx1"/>
            </w14:solidFill>
          </w14:textFill>
        </w:rPr>
      </w:pPr>
    </w:p>
    <w:p w14:paraId="60BB6706">
      <w:pPr>
        <w:pStyle w:val="27"/>
        <w:rPr>
          <w:rFonts w:hint="eastAsia" w:ascii="宋体" w:hAnsi="宋体" w:eastAsia="宋体" w:cs="宋体"/>
          <w:color w:val="000000" w:themeColor="text1"/>
          <w:sz w:val="24"/>
          <w:highlight w:val="none"/>
          <w:lang w:val="en-US" w:eastAsia="zh-CN"/>
          <w14:textFill>
            <w14:solidFill>
              <w14:schemeClr w14:val="tx1"/>
            </w14:solidFill>
          </w14:textFill>
        </w:rPr>
      </w:pPr>
    </w:p>
    <w:p w14:paraId="1917892E">
      <w:pPr>
        <w:pStyle w:val="28"/>
        <w:rPr>
          <w:rFonts w:hint="eastAsia" w:ascii="宋体" w:hAnsi="宋体" w:eastAsia="宋体" w:cs="宋体"/>
          <w:color w:val="000000" w:themeColor="text1"/>
          <w:sz w:val="24"/>
          <w:highlight w:val="none"/>
          <w:lang w:val="en-US" w:eastAsia="zh-CN"/>
          <w14:textFill>
            <w14:solidFill>
              <w14:schemeClr w14:val="tx1"/>
            </w14:solidFill>
          </w14:textFill>
        </w:rPr>
      </w:pPr>
    </w:p>
    <w:p w14:paraId="79EDCDE6">
      <w:pPr>
        <w:rPr>
          <w:rFonts w:hint="eastAsia" w:ascii="宋体" w:hAnsi="宋体" w:eastAsia="宋体" w:cs="宋体"/>
          <w:color w:val="000000" w:themeColor="text1"/>
          <w:sz w:val="24"/>
          <w:highlight w:val="none"/>
          <w:lang w:val="en-US" w:eastAsia="zh-CN"/>
          <w14:textFill>
            <w14:solidFill>
              <w14:schemeClr w14:val="tx1"/>
            </w14:solidFill>
          </w14:textFill>
        </w:rPr>
      </w:pPr>
    </w:p>
    <w:p w14:paraId="7A56A78E">
      <w:pPr>
        <w:pStyle w:val="26"/>
        <w:rPr>
          <w:rFonts w:hint="eastAsia" w:ascii="宋体" w:hAnsi="宋体" w:eastAsia="宋体" w:cs="宋体"/>
          <w:color w:val="000000" w:themeColor="text1"/>
          <w:sz w:val="24"/>
          <w:highlight w:val="none"/>
          <w:lang w:val="en-US" w:eastAsia="zh-CN"/>
          <w14:textFill>
            <w14:solidFill>
              <w14:schemeClr w14:val="tx1"/>
            </w14:solidFill>
          </w14:textFill>
        </w:rPr>
      </w:pPr>
    </w:p>
    <w:p w14:paraId="619DE9EC">
      <w:pPr>
        <w:pStyle w:val="27"/>
        <w:rPr>
          <w:rFonts w:hint="eastAsia" w:ascii="宋体" w:hAnsi="宋体" w:eastAsia="宋体" w:cs="宋体"/>
          <w:color w:val="000000" w:themeColor="text1"/>
          <w:sz w:val="24"/>
          <w:highlight w:val="none"/>
          <w:lang w:val="en-US" w:eastAsia="zh-CN"/>
          <w14:textFill>
            <w14:solidFill>
              <w14:schemeClr w14:val="tx1"/>
            </w14:solidFill>
          </w14:textFill>
        </w:rPr>
      </w:pPr>
    </w:p>
    <w:p w14:paraId="2DF45214">
      <w:pPr>
        <w:pStyle w:val="28"/>
        <w:rPr>
          <w:rFonts w:hint="eastAsia" w:ascii="宋体" w:hAnsi="宋体" w:eastAsia="宋体" w:cs="宋体"/>
          <w:color w:val="000000" w:themeColor="text1"/>
          <w:sz w:val="24"/>
          <w:highlight w:val="none"/>
          <w:lang w:val="en-US" w:eastAsia="zh-CN"/>
          <w14:textFill>
            <w14:solidFill>
              <w14:schemeClr w14:val="tx1"/>
            </w14:solidFill>
          </w14:textFill>
        </w:rPr>
      </w:pPr>
    </w:p>
    <w:p w14:paraId="66E3FC2F">
      <w:pPr>
        <w:rPr>
          <w:rFonts w:hint="eastAsia" w:ascii="宋体" w:hAnsi="宋体" w:eastAsia="宋体" w:cs="宋体"/>
          <w:color w:val="000000" w:themeColor="text1"/>
          <w:sz w:val="24"/>
          <w:highlight w:val="none"/>
          <w:lang w:val="en-US" w:eastAsia="zh-CN"/>
          <w14:textFill>
            <w14:solidFill>
              <w14:schemeClr w14:val="tx1"/>
            </w14:solidFill>
          </w14:textFill>
        </w:rPr>
      </w:pPr>
    </w:p>
    <w:p w14:paraId="74765CC7">
      <w:pPr>
        <w:pStyle w:val="26"/>
        <w:rPr>
          <w:rFonts w:hint="eastAsia" w:ascii="宋体" w:hAnsi="宋体" w:eastAsia="宋体" w:cs="宋体"/>
          <w:color w:val="000000" w:themeColor="text1"/>
          <w:sz w:val="24"/>
          <w:highlight w:val="none"/>
          <w:lang w:val="en-US" w:eastAsia="zh-CN"/>
          <w14:textFill>
            <w14:solidFill>
              <w14:schemeClr w14:val="tx1"/>
            </w14:solidFill>
          </w14:textFill>
        </w:rPr>
      </w:pPr>
    </w:p>
    <w:p w14:paraId="48C640D3">
      <w:pPr>
        <w:pStyle w:val="27"/>
        <w:rPr>
          <w:rFonts w:hint="eastAsia" w:ascii="宋体" w:hAnsi="宋体" w:eastAsia="宋体" w:cs="宋体"/>
          <w:color w:val="000000" w:themeColor="text1"/>
          <w:sz w:val="24"/>
          <w:highlight w:val="none"/>
          <w:lang w:val="en-US" w:eastAsia="zh-CN"/>
          <w14:textFill>
            <w14:solidFill>
              <w14:schemeClr w14:val="tx1"/>
            </w14:solidFill>
          </w14:textFill>
        </w:rPr>
      </w:pPr>
    </w:p>
    <w:p w14:paraId="37ACB4AE">
      <w:pPr>
        <w:pStyle w:val="28"/>
        <w:rPr>
          <w:rFonts w:hint="eastAsia" w:ascii="宋体" w:hAnsi="宋体" w:eastAsia="宋体" w:cs="宋体"/>
          <w:color w:val="000000" w:themeColor="text1"/>
          <w:sz w:val="24"/>
          <w:highlight w:val="none"/>
          <w:lang w:val="en-US" w:eastAsia="zh-CN"/>
          <w14:textFill>
            <w14:solidFill>
              <w14:schemeClr w14:val="tx1"/>
            </w14:solidFill>
          </w14:textFill>
        </w:rPr>
      </w:pPr>
    </w:p>
    <w:p w14:paraId="6828A4B1">
      <w:pPr>
        <w:rPr>
          <w:rFonts w:hint="eastAsia" w:ascii="宋体" w:hAnsi="宋体" w:eastAsia="宋体" w:cs="宋体"/>
          <w:color w:val="000000" w:themeColor="text1"/>
          <w:sz w:val="24"/>
          <w:highlight w:val="none"/>
          <w:lang w:val="en-US" w:eastAsia="zh-CN"/>
          <w14:textFill>
            <w14:solidFill>
              <w14:schemeClr w14:val="tx1"/>
            </w14:solidFill>
          </w14:textFill>
        </w:rPr>
      </w:pPr>
    </w:p>
    <w:p w14:paraId="4A124413">
      <w:pPr>
        <w:pStyle w:val="26"/>
        <w:rPr>
          <w:rFonts w:hint="eastAsia" w:ascii="宋体" w:hAnsi="宋体" w:eastAsia="宋体" w:cs="宋体"/>
          <w:color w:val="000000" w:themeColor="text1"/>
          <w:sz w:val="24"/>
          <w:highlight w:val="none"/>
          <w:lang w:val="en-US" w:eastAsia="zh-CN"/>
          <w14:textFill>
            <w14:solidFill>
              <w14:schemeClr w14:val="tx1"/>
            </w14:solidFill>
          </w14:textFill>
        </w:rPr>
      </w:pPr>
    </w:p>
    <w:p w14:paraId="06CB16A2">
      <w:pPr>
        <w:pStyle w:val="27"/>
        <w:ind w:left="0" w:leftChars="0" w:firstLine="0" w:firstLineChars="0"/>
        <w:rPr>
          <w:rFonts w:hint="eastAsia"/>
          <w:color w:val="000000" w:themeColor="text1"/>
          <w:highlight w:val="none"/>
          <w:lang w:val="en-US" w:eastAsia="zh-CN"/>
          <w14:textFill>
            <w14:solidFill>
              <w14:schemeClr w14:val="tx1"/>
            </w14:solidFill>
          </w14:textFill>
        </w:rPr>
      </w:pPr>
    </w:p>
    <w:bookmarkEnd w:id="4"/>
    <w:p w14:paraId="420C1D4B">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8" w:name="_Toc164416483"/>
      <w:bookmarkStart w:id="9" w:name="第三部分"/>
      <w:r>
        <w:rPr>
          <w:rFonts w:hint="eastAsia" w:ascii="宋体" w:hAnsi="宋体" w:eastAsia="宋体" w:cs="宋体"/>
          <w:b/>
          <w:color w:val="000000" w:themeColor="text1"/>
          <w:sz w:val="32"/>
          <w:szCs w:val="20"/>
          <w:highlight w:val="none"/>
          <w14:textFill>
            <w14:solidFill>
              <w14:schemeClr w14:val="tx1"/>
            </w14:solidFill>
          </w14:textFill>
        </w:rPr>
        <w:t>一、总则</w:t>
      </w:r>
    </w:p>
    <w:p w14:paraId="73F2131D">
      <w:pPr>
        <w:snapToGrid w:val="0"/>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7E0D93DF">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宋体" w:hAnsi="宋体" w:cs="宋体"/>
          <w:color w:val="000000" w:themeColor="text1"/>
          <w:sz w:val="24"/>
          <w:highlight w:val="none"/>
          <w:lang w:eastAsia="zh-CN"/>
          <w14:textFill>
            <w14:solidFill>
              <w14:schemeClr w14:val="tx1"/>
            </w14:solidFill>
          </w14:textFill>
        </w:rPr>
        <w:t>法律法规</w:t>
      </w:r>
      <w:r>
        <w:rPr>
          <w:rFonts w:hint="eastAsia" w:ascii="宋体" w:hAnsi="宋体" w:eastAsia="宋体" w:cs="宋体"/>
          <w:color w:val="000000" w:themeColor="text1"/>
          <w:sz w:val="24"/>
          <w:highlight w:val="none"/>
          <w14:textFill>
            <w14:solidFill>
              <w14:schemeClr w14:val="tx1"/>
            </w14:solidFill>
          </w14:textFill>
        </w:rPr>
        <w:t>另有规定的，从其规定）。</w:t>
      </w:r>
    </w:p>
    <w:p w14:paraId="7DADCD0F">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2.定义</w:t>
      </w:r>
    </w:p>
    <w:p w14:paraId="6974256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14:textFill>
            <w14:solidFill>
              <w14:schemeClr w14:val="tx1"/>
            </w14:solidFill>
          </w14:textFill>
        </w:rPr>
        <w:t>。</w:t>
      </w:r>
    </w:p>
    <w:p w14:paraId="0B3B2E0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“采购机构”系指</w:t>
      </w:r>
      <w:r>
        <w:rPr>
          <w:rFonts w:hint="eastAsia" w:ascii="宋体" w:hAnsi="宋体" w:cs="宋体"/>
          <w:color w:val="000000" w:themeColor="text1"/>
          <w:sz w:val="24"/>
          <w:highlight w:val="none"/>
          <w:lang w:eastAsia="zh-CN"/>
          <w14:textFill>
            <w14:solidFill>
              <w14:schemeClr w14:val="tx1"/>
            </w14:solidFill>
          </w14:textFill>
        </w:rPr>
        <w:t>杭州恒城工程管理有限公司</w:t>
      </w:r>
      <w:r>
        <w:rPr>
          <w:rFonts w:hint="eastAsia" w:ascii="宋体" w:hAnsi="宋体" w:eastAsia="宋体" w:cs="宋体"/>
          <w:color w:val="000000" w:themeColor="text1"/>
          <w:sz w:val="24"/>
          <w:highlight w:val="none"/>
          <w14:textFill>
            <w14:solidFill>
              <w14:schemeClr w14:val="tx1"/>
            </w14:solidFill>
          </w14:textFill>
        </w:rPr>
        <w:t>。</w:t>
      </w:r>
    </w:p>
    <w:p w14:paraId="432E6F8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”系指是指响应招标、参加投标竞争的法人</w:t>
      </w:r>
      <w:r>
        <w:rPr>
          <w:rFonts w:hint="eastAsia" w:ascii="宋体" w:hAnsi="宋体" w:cs="宋体"/>
          <w:color w:val="000000" w:themeColor="text1"/>
          <w:sz w:val="24"/>
          <w:highlight w:val="none"/>
          <w:lang w:eastAsia="zh-CN"/>
          <w14:textFill>
            <w14:solidFill>
              <w14:schemeClr w14:val="tx1"/>
            </w14:solidFill>
          </w14:textFill>
        </w:rPr>
        <w:t>或</w:t>
      </w:r>
      <w:r>
        <w:rPr>
          <w:rFonts w:hint="eastAsia" w:ascii="宋体" w:hAnsi="宋体" w:eastAsia="宋体" w:cs="宋体"/>
          <w:color w:val="000000" w:themeColor="text1"/>
          <w:sz w:val="24"/>
          <w:highlight w:val="none"/>
          <w14:textFill>
            <w14:solidFill>
              <w14:schemeClr w14:val="tx1"/>
            </w14:solidFill>
          </w14:textFill>
        </w:rPr>
        <w:t>其他组织。</w:t>
      </w:r>
    </w:p>
    <w:p w14:paraId="7909063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w:t>
      </w:r>
    </w:p>
    <w:p w14:paraId="2A043C63">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 “▲” 系指实质性要求条款</w:t>
      </w:r>
      <w:r>
        <w:rPr>
          <w:rFonts w:hint="eastAsia" w:ascii="宋体" w:hAnsi="宋体" w:eastAsia="宋体" w:cs="宋体"/>
          <w:color w:val="000000" w:themeColor="text1"/>
          <w:sz w:val="24"/>
          <w:highlight w:val="none"/>
          <w:lang w:eastAsia="zh-CN"/>
          <w14:textFill>
            <w14:solidFill>
              <w14:schemeClr w14:val="tx1"/>
            </w14:solidFill>
          </w14:textFill>
        </w:rPr>
        <w:t>。</w:t>
      </w:r>
    </w:p>
    <w:p w14:paraId="630330EE">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采购项目需要落实的采购政策</w:t>
      </w:r>
    </w:p>
    <w:p w14:paraId="49FDE8C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支持绿色发展</w:t>
      </w:r>
    </w:p>
    <w:p w14:paraId="33DA920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支持中小企业发展</w:t>
      </w:r>
    </w:p>
    <w:p w14:paraId="66E579C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9F7E6B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符合中小企业划分标准的个体工商户，在采购活动中视同中小企业。</w:t>
      </w:r>
    </w:p>
    <w:p w14:paraId="16DE89AB">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在采购活动中，</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提供的</w:t>
      </w:r>
      <w:r>
        <w:rPr>
          <w:rFonts w:hint="eastAsia" w:ascii="宋体" w:hAnsi="宋体" w:eastAsia="宋体" w:cs="宋体"/>
          <w:color w:val="000000" w:themeColor="text1"/>
          <w:kern w:val="0"/>
          <w:sz w:val="24"/>
          <w:highlight w:val="none"/>
          <w:lang w:eastAsia="zh-CN"/>
          <w14:textFill>
            <w14:solidFill>
              <w14:schemeClr w14:val="tx1"/>
            </w14:solidFill>
          </w14:textFill>
        </w:rPr>
        <w:t>服务</w:t>
      </w:r>
      <w:r>
        <w:rPr>
          <w:rFonts w:hint="eastAsia" w:ascii="宋体" w:hAnsi="宋体" w:eastAsia="宋体" w:cs="宋体"/>
          <w:color w:val="000000" w:themeColor="text1"/>
          <w:kern w:val="0"/>
          <w:sz w:val="24"/>
          <w:highlight w:val="none"/>
          <w14:textFill>
            <w14:solidFill>
              <w14:schemeClr w14:val="tx1"/>
            </w14:solidFill>
          </w14:textFill>
        </w:rPr>
        <w:t>符合下列情形的，享受中小企业扶持政策：</w:t>
      </w:r>
    </w:p>
    <w:p w14:paraId="061137F1">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.2.1在服务采购项目中，服务由中小企业承接，即提供服务的人员为中小企业依照《中华人民共和国劳动合同法》订立劳动合同的从业人员。</w:t>
      </w:r>
    </w:p>
    <w:p w14:paraId="1B58EC2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.3对于未预留份额专门面向中小企业的采购服务项目，以及预留份额采购货物或服务项目中的非预留部分标项，对小型和微型企业的投标报价给予10%的扣除，用扣除后的价格参与评审。</w:t>
      </w:r>
    </w:p>
    <w:p w14:paraId="3B9C28B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.4符合《关于促进残疾人就业政府采购政策的通知》（财库〔2017〕141号）规定的条件并提供《残疾人福利性单位声明函》（附件1）的残疾人福利性单位视同小型、微型企业；</w:t>
      </w:r>
    </w:p>
    <w:p w14:paraId="15853B5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0198004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.6可享受中小企业扶持政策的</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应按照招标文件格式要求提供《中小企业声明函》，</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提供的《中小企业声明函》与实际情况不符的，不享受中小企业扶持政策。声明内容不实的，属于提供虚假材料谋取中标、成交的，依法承担法律责任。</w:t>
      </w:r>
    </w:p>
    <w:p w14:paraId="1DAA7C4D">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.7中小企业享受扶持政策获得政府采购合同的，小微企业不得将合同分包给大中型企业，中型企业不得将合同分包给大型企业。</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p>
    <w:p w14:paraId="4A5E4E2D">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4.1供应商询问</w:t>
      </w:r>
    </w:p>
    <w:p w14:paraId="75CD705E">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供应商对采购活动事项有疑问的，可以提出询问，</w:t>
      </w:r>
      <w:r>
        <w:rPr>
          <w:rFonts w:hint="eastAsia" w:ascii="宋体" w:hAnsi="宋体" w:cs="宋体"/>
          <w:color w:val="000000" w:themeColor="text1"/>
          <w:kern w:val="0"/>
          <w:sz w:val="24"/>
          <w:highlight w:val="none"/>
          <w:lang w:val="zh-CN"/>
          <w14:textFill>
            <w14:solidFill>
              <w14:schemeClr w14:val="tx1"/>
            </w14:solidFill>
          </w14:textFill>
        </w:rPr>
        <w:t>采购单位</w:t>
      </w:r>
      <w:r>
        <w:rPr>
          <w:rFonts w:hint="eastAsia" w:ascii="宋体" w:hAnsi="宋体" w:eastAsia="宋体" w:cs="宋体"/>
          <w:color w:val="000000" w:themeColor="text1"/>
          <w:kern w:val="0"/>
          <w:sz w:val="24"/>
          <w:highlight w:val="none"/>
          <w:lang w:val="zh-CN"/>
          <w14:textFill>
            <w14:solidFill>
              <w14:schemeClr w14:val="tx1"/>
            </w14:solidFill>
          </w14:textFill>
        </w:rPr>
        <w:t>或者采购代理机构应当在3个工作日内对供应商依法提出的询问作出答复，但答复的内容不得涉及商业秘密。供应商提出的询问超出</w:t>
      </w:r>
      <w:r>
        <w:rPr>
          <w:rFonts w:hint="eastAsia" w:ascii="宋体" w:hAnsi="宋体" w:cs="宋体"/>
          <w:color w:val="000000" w:themeColor="text1"/>
          <w:kern w:val="0"/>
          <w:sz w:val="24"/>
          <w:highlight w:val="none"/>
          <w:lang w:val="zh-CN"/>
          <w14:textFill>
            <w14:solidFill>
              <w14:schemeClr w14:val="tx1"/>
            </w14:solidFill>
          </w14:textFill>
        </w:rPr>
        <w:t>采购单位</w:t>
      </w:r>
      <w:r>
        <w:rPr>
          <w:rFonts w:hint="eastAsia" w:ascii="宋体" w:hAnsi="宋体" w:eastAsia="宋体" w:cs="宋体"/>
          <w:color w:val="000000" w:themeColor="text1"/>
          <w:kern w:val="0"/>
          <w:sz w:val="24"/>
          <w:highlight w:val="none"/>
          <w:lang w:val="zh-CN"/>
          <w14:textFill>
            <w14:solidFill>
              <w14:schemeClr w14:val="tx1"/>
            </w14:solidFill>
          </w14:textFill>
        </w:rPr>
        <w:t>对采购代理机构委托授权范围的，采购代理机构应当告知供应商向</w:t>
      </w:r>
      <w:r>
        <w:rPr>
          <w:rFonts w:hint="eastAsia" w:ascii="宋体" w:hAnsi="宋体" w:cs="宋体"/>
          <w:color w:val="000000" w:themeColor="text1"/>
          <w:kern w:val="0"/>
          <w:sz w:val="24"/>
          <w:highlight w:val="none"/>
          <w:lang w:val="zh-CN"/>
          <w14:textFill>
            <w14:solidFill>
              <w14:schemeClr w14:val="tx1"/>
            </w14:solidFill>
          </w14:textFill>
        </w:rPr>
        <w:t>采购单位</w:t>
      </w:r>
      <w:r>
        <w:rPr>
          <w:rFonts w:hint="eastAsia" w:ascii="宋体" w:hAnsi="宋体" w:eastAsia="宋体" w:cs="宋体"/>
          <w:color w:val="000000" w:themeColor="text1"/>
          <w:kern w:val="0"/>
          <w:sz w:val="24"/>
          <w:highlight w:val="none"/>
          <w:lang w:val="zh-CN"/>
          <w14:textFill>
            <w14:solidFill>
              <w14:schemeClr w14:val="tx1"/>
            </w14:solidFill>
          </w14:textFill>
        </w:rPr>
        <w:t>提出。</w:t>
      </w:r>
    </w:p>
    <w:p w14:paraId="326AE6D7">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4.2供应商质疑</w:t>
      </w:r>
    </w:p>
    <w:p w14:paraId="1B8F33EA">
      <w:pPr>
        <w:pStyle w:val="3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933B607">
      <w:pPr>
        <w:pStyle w:val="3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w:t>
      </w:r>
      <w:r>
        <w:rPr>
          <w:rFonts w:hint="eastAsia"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或者采购机构提出质疑，否则，</w:t>
      </w:r>
      <w:r>
        <w:rPr>
          <w:rFonts w:hint="eastAsia"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或者采购机构不予受理：</w:t>
      </w:r>
    </w:p>
    <w:p w14:paraId="24D58E3A">
      <w:pPr>
        <w:pStyle w:val="17"/>
        <w:spacing w:line="360" w:lineRule="auto"/>
        <w:ind w:left="0" w:leftChars="0"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14:paraId="35F64F7D">
      <w:pPr>
        <w:pStyle w:val="3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14:paraId="41DC7409">
      <w:pPr>
        <w:pStyle w:val="37"/>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4.2.2.3对采购结果提出质疑的，质疑期限自采购结果公告期限届满之日起计算。</w:t>
      </w:r>
    </w:p>
    <w:p w14:paraId="058AE915">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996D9FD">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4.2.3.1供应商的姓名或者名称、地址、邮编、联系人及联系电话；</w:t>
      </w:r>
    </w:p>
    <w:p w14:paraId="3E8C52C6">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4.2.3.2质疑项目的名称、编号；</w:t>
      </w:r>
    </w:p>
    <w:p w14:paraId="0BD147F1">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4.2.3.3具体、明确的质疑事项和与质疑事项相关的请求；</w:t>
      </w:r>
    </w:p>
    <w:p w14:paraId="09EEEE0D">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4.2.3.4事实依据；</w:t>
      </w:r>
    </w:p>
    <w:p w14:paraId="0EE32AD3">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4.2.3.5必要的法律依据；</w:t>
      </w:r>
    </w:p>
    <w:p w14:paraId="71AF93C1">
      <w:pPr>
        <w:pStyle w:val="37"/>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4.2.3.6提出质疑的日期。</w:t>
      </w:r>
    </w:p>
    <w:p w14:paraId="70FD8615">
      <w:pPr>
        <w:pStyle w:val="888"/>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供应商提交的质疑函需一式三份。供应商为法人或者其他组织的，应当由法定代表人、主要负责人，或者其授权代表签字或者盖章，并加盖公章。</w:t>
      </w:r>
    </w:p>
    <w:p w14:paraId="24787FAE">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092E1B11">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.4</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根据《杭州市财政局关于进一步加强政府采购信息公开优化营商环境的通知》（杭财采监〔2021〕17号）</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或者采购机构在质疑回复后5个工作日内，在浙江政府采购网的“其他公告”栏目公开质疑答复，答复内容应当完整。质疑函作为附件上传。</w:t>
      </w:r>
    </w:p>
    <w:p w14:paraId="46E28DB1">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.5询问或者质疑事项可能影响采购结果的，</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应当暂停签订合同，已经签订合同的，应当中止履行合同。</w:t>
      </w:r>
    </w:p>
    <w:p w14:paraId="4AE965AF">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4.3供应商投诉</w:t>
      </w:r>
    </w:p>
    <w:p w14:paraId="068F357F">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4.3.1质疑供应商对</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、采购机构的答复不满意或者</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06BA3963">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6E13FEA7">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4.3.3供应商投诉应当有明确的请求和必要的证明材料。</w:t>
      </w:r>
    </w:p>
    <w:p w14:paraId="1CCED577">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473B22C9">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116D6EB8">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7950858C">
      <w:pPr>
        <w:pStyle w:val="3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3F640854">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0C35FBA3">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w:t>
      </w:r>
      <w:r>
        <w:rPr>
          <w:rFonts w:hint="eastAsia" w:hAnsi="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w:t>
      </w:r>
    </w:p>
    <w:p w14:paraId="1FE6C2C3">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6783CA50">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7F4891A1">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6C828752">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3E0CBF2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61AF9F66">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15B32EF7">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6.1 </w:t>
      </w:r>
      <w:r>
        <w:rPr>
          <w:rFonts w:hint="eastAsia" w:ascii="宋体" w:hAnsi="宋体" w:eastAsia="宋体" w:cs="宋体"/>
          <w:color w:val="000000" w:themeColor="text1"/>
          <w:sz w:val="24"/>
          <w:szCs w:val="24"/>
          <w:highlight w:val="none"/>
          <w14:textFill>
            <w14:solidFill>
              <w14:schemeClr w14:val="tx1"/>
            </w14:solidFill>
          </w14:textFill>
        </w:rPr>
        <w:t>供应商应认真阅读本</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，发现其中有误或有要求不合理的，应于投标截止时间前，以书面形式要求</w:t>
      </w:r>
      <w:r>
        <w:rPr>
          <w:rFonts w:hint="eastAsia" w:hAnsi="宋体" w:cs="宋体"/>
          <w:color w:val="000000" w:themeColor="text1"/>
          <w:sz w:val="24"/>
          <w:szCs w:val="24"/>
          <w:highlight w:val="none"/>
          <w:lang w:eastAsia="zh-CN"/>
          <w14:textFill>
            <w14:solidFill>
              <w14:schemeClr w14:val="tx1"/>
            </w14:solidFill>
          </w14:textFill>
        </w:rPr>
        <w:t>采购单位</w:t>
      </w:r>
      <w:r>
        <w:rPr>
          <w:rFonts w:hint="eastAsia" w:ascii="宋体" w:hAnsi="宋体" w:eastAsia="宋体" w:cs="宋体"/>
          <w:color w:val="000000" w:themeColor="text1"/>
          <w:sz w:val="24"/>
          <w:szCs w:val="24"/>
          <w:highlight w:val="none"/>
          <w14:textFill>
            <w14:solidFill>
              <w14:schemeClr w14:val="tx1"/>
            </w14:solidFill>
          </w14:textFill>
        </w:rPr>
        <w:t>或采购机构澄清。</w:t>
      </w:r>
    </w:p>
    <w:p w14:paraId="3A93260C">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6.2 </w:t>
      </w:r>
      <w:r>
        <w:rPr>
          <w:rFonts w:hint="eastAsia" w:ascii="宋体" w:hAnsi="宋体" w:eastAsia="宋体" w:cs="宋体"/>
          <w:color w:val="000000" w:themeColor="text1"/>
          <w:sz w:val="24"/>
          <w:szCs w:val="24"/>
          <w:highlight w:val="none"/>
          <w14:textFill>
            <w14:solidFill>
              <w14:schemeClr w14:val="tx1"/>
            </w14:solidFill>
          </w14:textFill>
        </w:rPr>
        <w:t>采购机构对已发出的</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进行必要澄清、答复、修改或补充的，将在</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要求提交</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日前，发布更正公告，</w:t>
      </w:r>
      <w:r>
        <w:rPr>
          <w:rFonts w:hint="eastAsia" w:ascii="宋体" w:hAnsi="宋体" w:eastAsia="宋体" w:cs="宋体"/>
          <w:color w:val="000000" w:themeColor="text1"/>
          <w:sz w:val="24"/>
          <w:szCs w:val="24"/>
          <w:highlight w:val="none"/>
          <w:lang w:eastAsia="zh-CN"/>
          <w14:textFill>
            <w14:solidFill>
              <w14:schemeClr w14:val="tx1"/>
            </w14:solidFill>
          </w14:textFill>
        </w:rPr>
        <w:t>同时</w:t>
      </w:r>
      <w:r>
        <w:rPr>
          <w:rFonts w:hint="eastAsia" w:ascii="宋体" w:hAnsi="宋体" w:eastAsia="宋体" w:cs="宋体"/>
          <w:color w:val="000000" w:themeColor="text1"/>
          <w:sz w:val="24"/>
          <w:szCs w:val="24"/>
          <w:highlight w:val="none"/>
          <w14:textFill>
            <w14:solidFill>
              <w14:schemeClr w14:val="tx1"/>
            </w14:solidFill>
          </w14:textFill>
        </w:rPr>
        <w:t>通知已获取招标文件的潜在</w:t>
      </w:r>
      <w:r>
        <w:rPr>
          <w:rFonts w:hint="eastAsia" w:hAnsi="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w:t>
      </w:r>
    </w:p>
    <w:p w14:paraId="11F5EBA5">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6.3 </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澄清、答复、修改、补充的内容为</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的组成部分。当</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与</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的答复、澄清、修改、补充通知就同一内容的表述不一致时，以最后发出的文件为准。</w:t>
      </w:r>
    </w:p>
    <w:p w14:paraId="592A091E">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6.4 </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的澄清、答复、修改或补充都应该通过采购机构以法定形式发布，</w:t>
      </w:r>
      <w:r>
        <w:rPr>
          <w:rFonts w:hint="eastAsia" w:hAnsi="宋体" w:cs="宋体"/>
          <w:color w:val="000000" w:themeColor="text1"/>
          <w:sz w:val="24"/>
          <w:szCs w:val="24"/>
          <w:highlight w:val="none"/>
          <w:lang w:eastAsia="zh-CN"/>
          <w14:textFill>
            <w14:solidFill>
              <w14:schemeClr w14:val="tx1"/>
            </w14:solidFill>
          </w14:textFill>
        </w:rPr>
        <w:t>采购单位</w:t>
      </w:r>
      <w:r>
        <w:rPr>
          <w:rFonts w:hint="eastAsia" w:ascii="宋体" w:hAnsi="宋体" w:eastAsia="宋体" w:cs="宋体"/>
          <w:color w:val="000000" w:themeColor="text1"/>
          <w:sz w:val="24"/>
          <w:szCs w:val="24"/>
          <w:highlight w:val="none"/>
          <w14:textFill>
            <w14:solidFill>
              <w14:schemeClr w14:val="tx1"/>
            </w14:solidFill>
          </w14:textFill>
        </w:rPr>
        <w:t>非通过采购机构，不得擅自澄清、答复、修改或补充</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w:t>
      </w:r>
    </w:p>
    <w:p w14:paraId="57B34734">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6.5 </w:t>
      </w:r>
      <w:r>
        <w:rPr>
          <w:rFonts w:hint="eastAsia" w:ascii="宋体" w:hAnsi="宋体" w:eastAsia="宋体" w:cs="宋体"/>
          <w:color w:val="000000" w:themeColor="text1"/>
          <w:sz w:val="24"/>
          <w:szCs w:val="24"/>
          <w:highlight w:val="none"/>
          <w14:textFill>
            <w14:solidFill>
              <w14:schemeClr w14:val="tx1"/>
            </w14:solidFill>
          </w14:textFill>
        </w:rPr>
        <w:t>供应商一旦参与本次采购</w:t>
      </w:r>
      <w:r>
        <w:rPr>
          <w:rFonts w:hint="eastAsia" w:ascii="宋体" w:hAnsi="宋体" w:eastAsia="宋体" w:cs="宋体"/>
          <w:color w:val="000000" w:themeColor="text1"/>
          <w:sz w:val="24"/>
          <w:szCs w:val="24"/>
          <w:highlight w:val="none"/>
          <w:lang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活动，即被视为接受了本</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的所有内容，如有任何异议，均已在答疑截止时间前提出。</w:t>
      </w:r>
    </w:p>
    <w:p w14:paraId="497754F1">
      <w:pPr>
        <w:pStyle w:val="37"/>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6.6 </w:t>
      </w:r>
      <w:r>
        <w:rPr>
          <w:rFonts w:hint="eastAsia" w:ascii="宋体" w:hAnsi="宋体" w:eastAsia="宋体" w:cs="宋体"/>
          <w:color w:val="000000" w:themeColor="text1"/>
          <w:sz w:val="24"/>
          <w:szCs w:val="24"/>
          <w:highlight w:val="none"/>
          <w14:textFill>
            <w14:solidFill>
              <w14:schemeClr w14:val="tx1"/>
            </w14:solidFill>
          </w14:textFill>
        </w:rPr>
        <w:t>若有必要，代理机构将酌情延长递交</w:t>
      </w:r>
      <w:r>
        <w:rPr>
          <w:rFonts w:hint="eastAsia" w:ascii="宋体" w:hAnsi="宋体" w:eastAsia="宋体" w:cs="宋体"/>
          <w:color w:val="000000" w:themeColor="text1"/>
          <w:sz w:val="24"/>
          <w:szCs w:val="24"/>
          <w:highlight w:val="none"/>
          <w:lang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响应文件的截止日期。</w:t>
      </w:r>
    </w:p>
    <w:p w14:paraId="02A33773">
      <w:pPr>
        <w:pStyle w:val="26"/>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53301099">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0D0002A4">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4117675B">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75484388">
      <w:pPr>
        <w:pStyle w:val="37"/>
        <w:spacing w:line="360" w:lineRule="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r>
        <w:rPr>
          <w:rFonts w:hint="eastAsia" w:ascii="宋体" w:hAnsi="宋体" w:eastAsia="宋体" w:cs="宋体"/>
          <w:b/>
          <w:color w:val="000000" w:themeColor="text1"/>
          <w:sz w:val="24"/>
          <w:szCs w:val="24"/>
          <w:highlight w:val="none"/>
          <w:lang w:eastAsia="zh-CN"/>
          <w14:textFill>
            <w14:solidFill>
              <w14:schemeClr w14:val="tx1"/>
            </w14:solidFill>
          </w14:textFill>
        </w:rPr>
        <w:t>：无</w:t>
      </w:r>
    </w:p>
    <w:p w14:paraId="5EAE7ED6">
      <w:pPr>
        <w:pStyle w:val="37"/>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26D7A54E">
      <w:pPr>
        <w:pStyle w:val="17"/>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131B9CE3">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6FD361BA">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与采购有关的来往通知、函件和文件均应使用中文。</w:t>
      </w:r>
    </w:p>
    <w:p w14:paraId="6C4FAC84">
      <w:pPr>
        <w:pStyle w:val="37"/>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7A98170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3A02974D">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11.1.1符合参加采购活动应当具备的一般条件的承诺函</w:t>
      </w:r>
    </w:p>
    <w:p w14:paraId="7224C565">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p>
    <w:p w14:paraId="0047BD17">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落实采购政策需满足的资格要求</w:t>
      </w:r>
    </w:p>
    <w:p w14:paraId="63F4AB16">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投标函</w:t>
      </w:r>
    </w:p>
    <w:p w14:paraId="19D9592E">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授权委托书或法定代表人（单位负责人）身份证明</w:t>
      </w:r>
    </w:p>
    <w:p w14:paraId="2B03E230">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6企业营业执照</w:t>
      </w:r>
    </w:p>
    <w:p w14:paraId="6F5FE223">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本项目的特定资格要求</w:t>
      </w:r>
      <w:r>
        <w:rPr>
          <w:rFonts w:hint="eastAsia" w:ascii="宋体" w:hAnsi="宋体" w:cs="宋体"/>
          <w:color w:val="000000" w:themeColor="text1"/>
          <w:sz w:val="24"/>
          <w:highlight w:val="none"/>
          <w:lang w:val="zh-CN"/>
          <w14:textFill>
            <w14:solidFill>
              <w14:schemeClr w14:val="tx1"/>
            </w14:solidFill>
          </w14:textFill>
        </w:rPr>
        <w:t>（如有）</w:t>
      </w:r>
    </w:p>
    <w:p w14:paraId="151CD1D7">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20D3422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.1开标一览表（报价表）；</w:t>
      </w:r>
    </w:p>
    <w:p w14:paraId="7084B44F">
      <w:pPr>
        <w:snapToGrid w:val="0"/>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报价说明（如有）</w:t>
      </w:r>
      <w:r>
        <w:rPr>
          <w:rFonts w:hint="eastAsia" w:ascii="宋体" w:hAnsi="宋体" w:eastAsia="宋体" w:cs="宋体"/>
          <w:color w:val="000000" w:themeColor="text1"/>
          <w:sz w:val="24"/>
          <w:highlight w:val="none"/>
          <w14:textFill>
            <w14:solidFill>
              <w14:schemeClr w14:val="tx1"/>
            </w14:solidFill>
          </w14:textFill>
        </w:rPr>
        <w:t>。</w:t>
      </w:r>
    </w:p>
    <w:p w14:paraId="6A3BF76A">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w:t>
      </w:r>
      <w:r>
        <w:rPr>
          <w:rFonts w:hint="eastAsia" w:ascii="宋体" w:hAnsi="宋体" w:cs="宋体"/>
          <w:b/>
          <w:color w:val="000000" w:themeColor="text1"/>
          <w:sz w:val="24"/>
          <w:highlight w:val="none"/>
          <w:lang w:eastAsia="zh-CN"/>
          <w14:textFill>
            <w14:solidFill>
              <w14:schemeClr w14:val="tx1"/>
            </w14:solidFill>
          </w14:textFill>
        </w:rPr>
        <w:t>采购单位</w:t>
      </w:r>
      <w:r>
        <w:rPr>
          <w:rFonts w:hint="eastAsia" w:ascii="宋体" w:hAnsi="宋体" w:eastAsia="宋体" w:cs="宋体"/>
          <w:b/>
          <w:color w:val="000000" w:themeColor="text1"/>
          <w:sz w:val="24"/>
          <w:highlight w:val="none"/>
          <w14:textFill>
            <w14:solidFill>
              <w14:schemeClr w14:val="tx1"/>
            </w14:solidFill>
          </w14:textFill>
        </w:rPr>
        <w:t>不能接受的附加条件的，投标无效；</w:t>
      </w:r>
    </w:p>
    <w:p w14:paraId="5222A8E0">
      <w:pPr>
        <w:spacing w:line="360" w:lineRule="auto"/>
        <w:ind w:firstLine="482"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投标单位</w:t>
      </w:r>
      <w:r>
        <w:rPr>
          <w:rFonts w:hint="eastAsia" w:ascii="宋体" w:hAnsi="宋体" w:eastAsia="宋体" w:cs="宋体"/>
          <w:b/>
          <w:color w:val="000000" w:themeColor="text1"/>
          <w:sz w:val="24"/>
          <w:highlight w:val="none"/>
          <w14:textFill>
            <w14:solidFill>
              <w14:schemeClr w14:val="tx1"/>
            </w14:solidFill>
          </w14:textFill>
        </w:rPr>
        <w:t>提供虚假材料投标的，投标无效。</w:t>
      </w:r>
    </w:p>
    <w:p w14:paraId="050EFCB2">
      <w:pPr>
        <w:pStyle w:val="135"/>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3E2C415F">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投标文件分为资格文件、报价文件两部分。各</w:t>
      </w:r>
      <w:r>
        <w:rPr>
          <w:rFonts w:hint="eastAsia" w:ascii="宋体" w:hAnsi="宋体" w:cs="宋体"/>
          <w:color w:val="000000" w:themeColor="text1"/>
          <w:kern w:val="0"/>
          <w:sz w:val="24"/>
          <w:highlight w:val="none"/>
          <w:lang w:val="zh-CN"/>
          <w14:textFill>
            <w14:solidFill>
              <w14:schemeClr w14:val="tx1"/>
            </w14:solidFill>
          </w14:textFill>
        </w:rPr>
        <w:t>投标单位</w:t>
      </w:r>
      <w:r>
        <w:rPr>
          <w:rFonts w:hint="eastAsia" w:ascii="宋体" w:hAnsi="宋体" w:eastAsia="宋体" w:cs="宋体"/>
          <w:color w:val="000000" w:themeColor="text1"/>
          <w:kern w:val="0"/>
          <w:sz w:val="24"/>
          <w:highlight w:val="none"/>
          <w:lang w:val="zh-CN"/>
          <w14:textFill>
            <w14:solidFill>
              <w14:schemeClr w14:val="tx1"/>
            </w14:solidFill>
          </w14:textFill>
        </w:rPr>
        <w:t>在编制投标文件时请按照招标文件第六部分规定的格式进行，混乱的编排导致投标文件被误读或评标委员会查找不到有效文件是</w:t>
      </w:r>
      <w:r>
        <w:rPr>
          <w:rFonts w:hint="eastAsia" w:ascii="宋体" w:hAnsi="宋体" w:cs="宋体"/>
          <w:color w:val="000000" w:themeColor="text1"/>
          <w:kern w:val="0"/>
          <w:sz w:val="24"/>
          <w:highlight w:val="none"/>
          <w:lang w:val="zh-CN"/>
          <w14:textFill>
            <w14:solidFill>
              <w14:schemeClr w14:val="tx1"/>
            </w14:solidFill>
          </w14:textFill>
        </w:rPr>
        <w:t>投标单位</w:t>
      </w:r>
      <w:r>
        <w:rPr>
          <w:rFonts w:hint="eastAsia" w:ascii="宋体" w:hAnsi="宋体" w:eastAsia="宋体" w:cs="宋体"/>
          <w:color w:val="000000" w:themeColor="text1"/>
          <w:kern w:val="0"/>
          <w:sz w:val="24"/>
          <w:highlight w:val="none"/>
          <w:lang w:val="zh-CN"/>
          <w14:textFill>
            <w14:solidFill>
              <w14:schemeClr w14:val="tx1"/>
            </w14:solidFill>
          </w14:textFill>
        </w:rPr>
        <w:t>的风险。</w:t>
      </w:r>
    </w:p>
    <w:p w14:paraId="18E7A749">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443F10EA">
      <w:pPr>
        <w:pStyle w:val="135"/>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eastAsia="zh-CN"/>
          <w14:textFill>
            <w14:solidFill>
              <w14:schemeClr w14:val="tx1"/>
            </w14:solidFill>
          </w14:textFill>
        </w:rPr>
        <w:t>投标单位</w:t>
      </w:r>
      <w:r>
        <w:rPr>
          <w:rFonts w:hint="eastAsia" w:ascii="宋体" w:hAnsi="宋体" w:eastAsia="宋体" w:cs="宋体"/>
          <w:b/>
          <w:color w:val="000000" w:themeColor="text1"/>
          <w:highlight w:val="none"/>
          <w14:textFill>
            <w14:solidFill>
              <w14:schemeClr w14:val="tx1"/>
            </w14:solidFill>
          </w14:textFill>
        </w:rPr>
        <w:t>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29CC2D6B">
      <w:pPr>
        <w:pStyle w:val="135"/>
        <w:numPr>
          <w:ilvl w:val="0"/>
          <w:numId w:val="1"/>
        </w:numPr>
        <w:spacing w:before="0"/>
        <w:ind w:firstLine="0" w:firstLineChars="0"/>
        <w:rPr>
          <w:rFonts w:hint="eastAsia" w:ascii="宋体" w:hAnsi="宋体" w:eastAsia="宋体" w:cs="宋体"/>
          <w:b/>
          <w:color w:val="000000" w:themeColor="text1"/>
          <w:szCs w:val="24"/>
          <w:highlight w:val="none"/>
          <w:lang w:eastAsia="zh-CN"/>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投标文件的</w:t>
      </w:r>
      <w:r>
        <w:rPr>
          <w:rFonts w:hint="eastAsia" w:ascii="宋体" w:hAnsi="宋体" w:eastAsia="宋体" w:cs="宋体"/>
          <w:b/>
          <w:color w:val="000000" w:themeColor="text1"/>
          <w:szCs w:val="24"/>
          <w:highlight w:val="none"/>
          <w:lang w:eastAsia="zh-CN"/>
          <w14:textFill>
            <w14:solidFill>
              <w14:schemeClr w14:val="tx1"/>
            </w14:solidFill>
          </w14:textFill>
        </w:rPr>
        <w:t>份数</w:t>
      </w:r>
    </w:p>
    <w:p w14:paraId="5503B7B5">
      <w:pPr>
        <w:pStyle w:val="135"/>
        <w:spacing w:before="0"/>
        <w:ind w:firstLine="480"/>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14.1</w:t>
      </w:r>
      <w:r>
        <w:rPr>
          <w:rFonts w:hint="eastAsia" w:ascii="宋体" w:hAnsi="宋体" w:eastAsia="宋体" w:cs="宋体"/>
          <w:color w:val="000000" w:themeColor="text1"/>
          <w:kern w:val="0"/>
          <w:szCs w:val="24"/>
          <w:highlight w:val="none"/>
          <w:lang w:val="zh-CN"/>
          <w14:textFill>
            <w14:solidFill>
              <w14:schemeClr w14:val="tx1"/>
            </w14:solidFill>
          </w14:textFill>
        </w:rPr>
        <w:t>供应商应按照本招标文件规定的格式编制、装订询价响应文件，询价响应文件内容不完整、编排混乱导致询价响应文件被误读、漏读或者查找不到相关内容的，是供应商的责任。</w:t>
      </w:r>
    </w:p>
    <w:p w14:paraId="030054A1">
      <w:pPr>
        <w:pStyle w:val="6"/>
        <w:keepNext w:val="0"/>
        <w:keepLines w:val="0"/>
        <w:tabs>
          <w:tab w:val="left" w:pos="105"/>
          <w:tab w:val="clear" w:pos="1008"/>
        </w:tabs>
        <w:snapToGrid w:val="0"/>
        <w:spacing w:before="0" w:after="0" w:line="360" w:lineRule="auto"/>
        <w:ind w:left="0" w:firstLine="480" w:firstLineChars="200"/>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14.2 </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供应商应按</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响应资格文件</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、报价文件</w:t>
      </w:r>
      <w:r>
        <w:rPr>
          <w:rFonts w:hint="eastAsia" w:ascii="宋体" w:hAnsi="宋体" w:eastAsia="宋体" w:cs="宋体"/>
          <w:color w:val="000000" w:themeColor="text1"/>
          <w:kern w:val="0"/>
          <w:sz w:val="24"/>
          <w:szCs w:val="24"/>
          <w:highlight w:val="none"/>
          <w:lang w:val="zh-CN"/>
          <w14:textFill>
            <w14:solidFill>
              <w14:schemeClr w14:val="tx1"/>
            </w14:solidFill>
          </w14:textFill>
        </w:rPr>
        <w:t>正本各1份，副本各2份</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分别编制并单独装订成册，询价响应文件的封面应注明“正本</w:t>
      </w:r>
      <w:r>
        <w:rPr>
          <w:rFonts w:hint="eastAsia" w:ascii="宋体" w:hAnsi="宋体" w:cs="宋体"/>
          <w:b w:val="0"/>
          <w:bCs w:val="0"/>
          <w:color w:val="000000" w:themeColor="text1"/>
          <w:kern w:val="0"/>
          <w:sz w:val="24"/>
          <w:szCs w:val="24"/>
          <w:highlight w:val="none"/>
          <w:lang w:val="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副本”字样，</w:t>
      </w:r>
      <w:r>
        <w:rPr>
          <w:rFonts w:hint="eastAsia" w:ascii="宋体" w:hAnsi="宋体" w:cs="宋体"/>
          <w:color w:val="000000" w:themeColor="text1"/>
          <w:kern w:val="0"/>
          <w:sz w:val="24"/>
          <w:szCs w:val="24"/>
          <w:highlight w:val="none"/>
          <w:lang w:val="zh-CN"/>
          <w14:textFill>
            <w14:solidFill>
              <w14:schemeClr w14:val="tx1"/>
            </w14:solidFill>
          </w14:textFill>
        </w:rPr>
        <w:t>装订成册</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。询价响应文件的正本需打印或用不褪色的墨水填写。正本与副本内容不一致的，以正本为准。</w:t>
      </w:r>
    </w:p>
    <w:p w14:paraId="21C9F075">
      <w:pPr>
        <w:pStyle w:val="6"/>
        <w:keepNext w:val="0"/>
        <w:keepLines w:val="0"/>
        <w:tabs>
          <w:tab w:val="left" w:pos="105"/>
          <w:tab w:val="left" w:pos="2940"/>
          <w:tab w:val="clear" w:pos="1008"/>
        </w:tabs>
        <w:snapToGrid w:val="0"/>
        <w:spacing w:before="0" w:after="0" w:line="360" w:lineRule="auto"/>
        <w:ind w:left="0" w:firstLine="480" w:firstLineChars="200"/>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14.3 </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询价</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响应文件须由供应商在规定位置盖公章并由法定代表人或法定代表授权人签署，供应商应写全称。</w:t>
      </w:r>
    </w:p>
    <w:p w14:paraId="7907DF29">
      <w:pPr>
        <w:pStyle w:val="6"/>
        <w:keepNext w:val="0"/>
        <w:keepLines w:val="0"/>
        <w:tabs>
          <w:tab w:val="left" w:pos="105"/>
          <w:tab w:val="clear" w:pos="1008"/>
        </w:tabs>
        <w:snapToGrid w:val="0"/>
        <w:spacing w:before="0" w:after="0" w:line="360" w:lineRule="auto"/>
        <w:ind w:left="0" w:firstLine="480" w:firstLineChars="200"/>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14.4 </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响应文件不得涂改，若有修改错漏处，须加盖单位公章或者法定代表人或委托代理人签字或盖章。询价响应文件因字迹潦草或表达不清所引起的后果由供应商负责。</w:t>
      </w:r>
    </w:p>
    <w:p w14:paraId="4281DDDF">
      <w:pPr>
        <w:pStyle w:val="6"/>
        <w:keepNext w:val="0"/>
        <w:keepLines w:val="0"/>
        <w:tabs>
          <w:tab w:val="left" w:pos="105"/>
          <w:tab w:val="center" w:pos="4535"/>
          <w:tab w:val="clear" w:pos="1008"/>
        </w:tabs>
        <w:snapToGrid w:val="0"/>
        <w:spacing w:before="0" w:after="0" w:line="360" w:lineRule="auto"/>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15.</w:t>
      </w:r>
      <w:r>
        <w:rPr>
          <w:rFonts w:hint="eastAsia" w:ascii="宋体" w:hAnsi="宋体" w:eastAsia="宋体" w:cs="宋体"/>
          <w:bCs w:val="0"/>
          <w:color w:val="000000" w:themeColor="text1"/>
          <w:sz w:val="24"/>
          <w:szCs w:val="24"/>
          <w:highlight w:val="none"/>
          <w:lang w:val="zh-CN"/>
          <w14:textFill>
            <w14:solidFill>
              <w14:schemeClr w14:val="tx1"/>
            </w14:solidFill>
          </w14:textFill>
        </w:rPr>
        <w:t>响应文件的包装、递交</w:t>
      </w:r>
      <w:r>
        <w:rPr>
          <w:rFonts w:hint="eastAsia" w:ascii="宋体" w:hAnsi="宋体" w:eastAsia="宋体" w:cs="宋体"/>
          <w:bCs w:val="0"/>
          <w:color w:val="000000" w:themeColor="text1"/>
          <w:sz w:val="24"/>
          <w:szCs w:val="24"/>
          <w:highlight w:val="none"/>
          <w:lang w:val="zh-CN"/>
          <w14:textFill>
            <w14:solidFill>
              <w14:schemeClr w14:val="tx1"/>
            </w14:solidFill>
          </w14:textFill>
        </w:rPr>
        <w:tab/>
      </w:r>
      <w:r>
        <w:rPr>
          <w:rFonts w:hint="eastAsia" w:ascii="宋体" w:hAnsi="宋体" w:eastAsia="宋体" w:cs="宋体"/>
          <w:bCs w:val="0"/>
          <w:color w:val="000000" w:themeColor="text1"/>
          <w:sz w:val="24"/>
          <w:szCs w:val="24"/>
          <w:highlight w:val="none"/>
          <w14:textFill>
            <w14:solidFill>
              <w14:schemeClr w14:val="tx1"/>
            </w14:solidFill>
          </w14:textFill>
        </w:rPr>
        <w:t xml:space="preserve">                             </w:t>
      </w:r>
    </w:p>
    <w:p w14:paraId="6C723984">
      <w:pPr>
        <w:pStyle w:val="6"/>
        <w:keepNext w:val="0"/>
        <w:keepLines w:val="0"/>
        <w:tabs>
          <w:tab w:val="left" w:pos="105"/>
          <w:tab w:val="center" w:pos="4535"/>
          <w:tab w:val="clear" w:pos="1008"/>
        </w:tabs>
        <w:snapToGrid w:val="0"/>
        <w:spacing w:before="0" w:after="0" w:line="360" w:lineRule="auto"/>
        <w:ind w:left="0" w:firstLine="480" w:firstLineChars="200"/>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15.1</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供应商应按</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资格文件、</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报价</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文件两部分分别密封封装询价响应文件，[参照《询价响应文件外层包装封面格式》（见附件）的要求]在包装封面上注明供应商名称、供应商地址、询价响应文件名称（</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资格文件</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、报价文件等）、项目名称、项目编号等内容，并加盖供应商公章。</w:t>
      </w:r>
    </w:p>
    <w:p w14:paraId="18C1EE93">
      <w:pPr>
        <w:pStyle w:val="6"/>
        <w:tabs>
          <w:tab w:val="left" w:pos="105"/>
          <w:tab w:val="clear" w:pos="1008"/>
        </w:tabs>
        <w:adjustRightInd/>
        <w:snapToGrid w:val="0"/>
        <w:spacing w:before="0" w:after="0" w:line="360" w:lineRule="auto"/>
        <w:ind w:left="0" w:firstLine="480" w:firstLineChars="200"/>
        <w:rPr>
          <w:rFonts w:hint="eastAsia" w:ascii="宋体" w:hAnsi="宋体" w:eastAsia="宋体" w:cs="宋体"/>
          <w:b/>
          <w:color w:val="000000" w:themeColor="text1"/>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15.2 </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未按规定密封或标记的询价响应文件将有可能被拒绝，由此造成询价响应文件被误投或提前拆封的风险由供应商承担。</w:t>
      </w:r>
    </w:p>
    <w:p w14:paraId="10615D93">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14:paraId="30403F36">
      <w:pPr>
        <w:pStyle w:val="29"/>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w:t>
      </w:r>
      <w:r>
        <w:rPr>
          <w:rFonts w:hint="eastAsia" w:ascii="宋体" w:hAnsi="宋体" w:eastAsia="宋体" w:cs="宋体"/>
          <w:color w:val="000000" w:themeColor="text1"/>
          <w:highlight w:val="none"/>
          <w14:textFill>
            <w14:solidFill>
              <w14:schemeClr w14:val="tx1"/>
            </w14:solidFill>
          </w14:textFill>
        </w:rPr>
        <w:t>第</w:t>
      </w:r>
      <w:r>
        <w:rPr>
          <w:rFonts w:hint="eastAsia" w:ascii="宋体" w:hAnsi="宋体" w:eastAsia="宋体" w:cs="宋体"/>
          <w:color w:val="000000" w:themeColor="text1"/>
          <w:highlight w:val="none"/>
          <w:lang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项规定</w:t>
      </w:r>
      <w:r>
        <w:rPr>
          <w:rFonts w:hint="eastAsia" w:ascii="宋体" w:hAnsi="宋体" w:eastAsia="宋体" w:cs="宋体"/>
          <w:color w:val="000000" w:themeColor="text1"/>
          <w:szCs w:val="21"/>
          <w:highlight w:val="none"/>
          <w14:textFill>
            <w14:solidFill>
              <w14:schemeClr w14:val="tx1"/>
            </w14:solidFill>
          </w14:textFill>
        </w:rPr>
        <w:t>的情形之一的，投标无效：</w:t>
      </w:r>
    </w:p>
    <w:p w14:paraId="5C79D21E">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14:paraId="53A5BB72">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lang w:eastAsia="zh-CN"/>
          <w14:textFill>
            <w14:solidFill>
              <w14:schemeClr w14:val="tx1"/>
            </w14:solidFill>
          </w14:textFill>
        </w:rPr>
        <w:t>投标单位</w:t>
      </w:r>
      <w:r>
        <w:rPr>
          <w:rFonts w:hint="eastAsia" w:ascii="宋体" w:hAnsi="宋体" w:eastAsia="宋体" w:cs="宋体"/>
          <w:b/>
          <w:color w:val="000000" w:themeColor="text1"/>
          <w:sz w:val="24"/>
          <w:szCs w:val="20"/>
          <w:highlight w:val="none"/>
          <w14:textFill>
            <w14:solidFill>
              <w14:schemeClr w14:val="tx1"/>
            </w14:solidFill>
          </w14:textFill>
        </w:rPr>
        <w:t>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129A752A">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61DB0BAA">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17.3在原定投标有效期满之前，如果出现特殊情况，采购机构可以以书面形式通知</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延长投标有效期。</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同意延长的，不得要求或被允许修改其投标文件，</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拒绝延长的，其投标无效。</w:t>
      </w:r>
    </w:p>
    <w:p w14:paraId="2DE7A860">
      <w:pPr>
        <w:pStyle w:val="135"/>
        <w:spacing w:before="0"/>
        <w:ind w:firstLine="480"/>
        <w:rPr>
          <w:rFonts w:hint="eastAsia" w:ascii="宋体" w:hAnsi="宋体" w:eastAsia="宋体" w:cs="宋体"/>
          <w:color w:val="000000" w:themeColor="text1"/>
          <w:highlight w:val="none"/>
          <w14:textFill>
            <w14:solidFill>
              <w14:schemeClr w14:val="tx1"/>
            </w14:solidFill>
          </w14:textFill>
        </w:rPr>
      </w:pPr>
    </w:p>
    <w:p w14:paraId="27F19076">
      <w:pPr>
        <w:pStyle w:val="135"/>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34AD3AD2">
      <w:pPr>
        <w:pStyle w:val="558"/>
        <w:spacing w:before="0" w:line="360" w:lineRule="auto"/>
        <w:ind w:left="0" w:leftChars="0" w:firstLine="0" w:firstLineChars="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7EFB9E2D">
      <w:pPr>
        <w:pStyle w:val="558"/>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采购机构按照</w:t>
      </w:r>
      <w:r>
        <w:rPr>
          <w:rFonts w:hint="eastAsia" w:ascii="宋体" w:hAnsi="宋体" w:eastAsia="宋体" w:cs="宋体"/>
          <w:color w:val="000000" w:themeColor="text1"/>
          <w:sz w:val="24"/>
          <w:highlight w:val="none"/>
          <w:lang w:eastAsia="zh-CN"/>
          <w14:textFill>
            <w14:solidFill>
              <w14:schemeClr w14:val="tx1"/>
            </w14:solidFill>
          </w14:textFill>
        </w:rPr>
        <w:t>询价</w:t>
      </w:r>
      <w:r>
        <w:rPr>
          <w:rFonts w:hint="eastAsia" w:ascii="宋体" w:hAnsi="宋体" w:eastAsia="宋体" w:cs="宋体"/>
          <w:color w:val="000000" w:themeColor="text1"/>
          <w:sz w:val="24"/>
          <w:highlight w:val="none"/>
          <w14:textFill>
            <w14:solidFill>
              <w14:schemeClr w14:val="tx1"/>
            </w14:solidFill>
          </w14:textFill>
        </w:rPr>
        <w:t>响应文件规定的时间组织开标，</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不足3家的，不得开标。</w:t>
      </w:r>
    </w:p>
    <w:p w14:paraId="1CE5B187">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19</w:t>
      </w:r>
      <w:r>
        <w:rPr>
          <w:rFonts w:hint="eastAsia" w:ascii="宋体" w:hAnsi="宋体" w:cs="宋体"/>
          <w:b/>
          <w:color w:val="000000" w:themeColor="text1"/>
          <w:sz w:val="24"/>
          <w:szCs w:val="20"/>
          <w:highlight w:val="none"/>
          <w:lang w:val="en-US" w:eastAsia="zh-CN"/>
          <w14:textFill>
            <w14:solidFill>
              <w14:schemeClr w14:val="tx1"/>
            </w14:solidFill>
          </w14:textFill>
        </w:rPr>
        <w:t>.</w:t>
      </w:r>
      <w:r>
        <w:rPr>
          <w:rFonts w:hint="eastAsia" w:ascii="宋体" w:hAnsi="宋体" w:eastAsia="宋体" w:cs="宋体"/>
          <w:b/>
          <w:color w:val="000000" w:themeColor="text1"/>
          <w:sz w:val="24"/>
          <w:szCs w:val="20"/>
          <w:highlight w:val="none"/>
          <w14:textFill>
            <w14:solidFill>
              <w14:schemeClr w14:val="tx1"/>
            </w14:solidFill>
          </w14:textFill>
        </w:rPr>
        <w:t>资格审查</w:t>
      </w:r>
    </w:p>
    <w:p w14:paraId="030C92E1">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19.1开标后，</w:t>
      </w:r>
      <w:r>
        <w:rPr>
          <w:rFonts w:hint="eastAsia" w:ascii="宋体" w:hAnsi="宋体" w:cs="宋体"/>
          <w:color w:val="000000" w:themeColor="text1"/>
          <w:kern w:val="0"/>
          <w:szCs w:val="24"/>
          <w:highlight w:val="none"/>
          <w:lang w:eastAsia="zh-CN"/>
          <w14:textFill>
            <w14:solidFill>
              <w14:schemeClr w14:val="tx1"/>
            </w14:solidFill>
          </w14:textFill>
        </w:rPr>
        <w:t>采购单位</w:t>
      </w:r>
      <w:r>
        <w:rPr>
          <w:rFonts w:hint="eastAsia" w:ascii="宋体" w:hAnsi="宋体" w:eastAsia="宋体" w:cs="宋体"/>
          <w:color w:val="000000" w:themeColor="text1"/>
          <w:kern w:val="0"/>
          <w:szCs w:val="24"/>
          <w:highlight w:val="none"/>
          <w14:textFill>
            <w14:solidFill>
              <w14:schemeClr w14:val="tx1"/>
            </w14:solidFill>
          </w14:textFill>
        </w:rPr>
        <w:t>或采购机构将依法对</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的资格进行审查。</w:t>
      </w:r>
    </w:p>
    <w:p w14:paraId="622705B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19.2</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或采购机构依据法律法规和招标文件的规定，对</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的基本资格条件、特定资格条件进行审查。</w:t>
      </w:r>
    </w:p>
    <w:p w14:paraId="2F3C8CE3">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19.3</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未按照招标文件要求提供与</w:t>
      </w:r>
      <w:r>
        <w:rPr>
          <w:rFonts w:hint="eastAsia" w:ascii="宋体" w:hAnsi="宋体" w:eastAsia="宋体" w:cs="宋体"/>
          <w:color w:val="000000" w:themeColor="text1"/>
          <w:highlight w:val="none"/>
          <w14:textFill>
            <w14:solidFill>
              <w14:schemeClr w14:val="tx1"/>
            </w14:solidFill>
          </w14:textFill>
        </w:rPr>
        <w:t>基本资格条件、特定资格条件相应的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不具备招标文件中规定的资格要求，其投标无效。</w:t>
      </w:r>
    </w:p>
    <w:p w14:paraId="056A3DA9">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4对未通过资格审查的</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或采购机构告知其未通过的原因。</w:t>
      </w:r>
    </w:p>
    <w:p w14:paraId="0C29AA7E">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w:t>
      </w:r>
      <w:r>
        <w:rPr>
          <w:rFonts w:hint="eastAsia" w:ascii="宋体" w:hAnsi="宋体" w:cs="宋体"/>
          <w:b/>
          <w:color w:val="000000" w:themeColor="text1"/>
          <w:szCs w:val="24"/>
          <w:highlight w:val="none"/>
          <w:lang w:val="en-US" w:eastAsia="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信用信息查询</w:t>
      </w:r>
    </w:p>
    <w:p w14:paraId="7778CD2A">
      <w:pPr>
        <w:pStyle w:val="135"/>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20.1信用信息查询渠道及截止时间：采购机构将通过“信用中国”网站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www.creditchina.gov.cn)、中国政府采购网</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www.ccgp.gov.cn</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渠道查询</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投标截止时间当天的信用记录。</w:t>
      </w:r>
    </w:p>
    <w:p w14:paraId="5B1CE8AA">
      <w:pPr>
        <w:pStyle w:val="135"/>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的信用记录、查询结果经确认后将与采购文件一起存档。</w:t>
      </w:r>
    </w:p>
    <w:p w14:paraId="6618A4AF">
      <w:pPr>
        <w:pStyle w:val="135"/>
        <w:spacing w:before="0"/>
        <w:ind w:firstLine="495" w:firstLineChars="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20.3信用信息的使用规则：经查询列入失信被执行人名单、重大税收违法案件当事人名单、采购严重违法失信行为记录名单的</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将被拒绝参与采购活动。</w:t>
      </w:r>
    </w:p>
    <w:p w14:paraId="0007A181">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2495C832">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0"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评标委员会将根据招标文件和有关规定，履行评标工作职责，并按照评标方法全面衡量各</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对招标文件的响应情况。对实质上响应招标文件的</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以有效报价最低的供应商确定为第一中标候选人。</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679EC2B7">
      <w:pPr>
        <w:pStyle w:val="26"/>
        <w:rPr>
          <w:rFonts w:hint="eastAsia" w:ascii="宋体" w:hAnsi="宋体" w:eastAsia="宋体" w:cs="宋体"/>
          <w:color w:val="000000" w:themeColor="text1"/>
          <w:highlight w:val="none"/>
          <w14:textFill>
            <w14:solidFill>
              <w14:schemeClr w14:val="tx1"/>
            </w14:solidFill>
          </w14:textFill>
        </w:rPr>
      </w:pPr>
    </w:p>
    <w:p w14:paraId="5F94A399">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18FEC5EA">
      <w:pPr>
        <w:pStyle w:val="29"/>
        <w:spacing w:line="360" w:lineRule="auto"/>
        <w:ind w:left="479" w:hanging="479" w:hangingChars="199"/>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w:t>
      </w:r>
      <w:r>
        <w:rPr>
          <w:rFonts w:hint="eastAsia" w:cs="宋体"/>
          <w:b/>
          <w:color w:val="000000" w:themeColor="text1"/>
          <w:highlight w:val="none"/>
          <w:lang w:eastAsia="zh-CN"/>
          <w14:textFill>
            <w14:solidFill>
              <w14:schemeClr w14:val="tx1"/>
            </w14:solidFill>
          </w14:textFill>
        </w:rPr>
        <w:t>中标单位</w:t>
      </w:r>
    </w:p>
    <w:p w14:paraId="195AF24A">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将自收到评审报告之日起3个工作日内在评审报告推荐的中标候选人中按顺序确定</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2698614D">
      <w:pPr>
        <w:pStyle w:val="29"/>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23. 中标通知与中标结果公告</w:t>
      </w:r>
    </w:p>
    <w:p w14:paraId="0D53828B">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23.1自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确定之日起2个工作日内，采购机构向</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发出中标通知书，同时编制发布采购结果公告。采购机构也可以以纸质形式进行中标通知。</w:t>
      </w:r>
    </w:p>
    <w:p w14:paraId="0B7BD91A">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23.2中标结果公告内容包括</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及其委托的采购机构的名称、地址、联系方式，项目名称和项目编号，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名称、地址和中标金额，主要中标标的的名称、规格型号、数量、单价、服务要求，开标记录、未中标情况说明、中标公告期限以及评审专家名单、评分汇总及明细。</w:t>
      </w:r>
    </w:p>
    <w:p w14:paraId="18FEF149">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23.3公告期限为1个工作日。</w:t>
      </w:r>
    </w:p>
    <w:p w14:paraId="603D4830">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AFFF8CF">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75B98D7D">
      <w:pPr>
        <w:pStyle w:val="29"/>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239DBC78">
      <w:pPr>
        <w:pStyle w:val="29"/>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14:paraId="2FDF3BE2">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lang w:eastAsia="zh-CN"/>
          <w14:textFill>
            <w14:solidFill>
              <w14:schemeClr w14:val="tx1"/>
            </w14:solidFill>
          </w14:textFill>
        </w:rPr>
        <w:t>中标单位</w:t>
      </w:r>
      <w:r>
        <w:rPr>
          <w:rFonts w:hint="eastAsia" w:ascii="宋体" w:hAnsi="宋体" w:eastAsia="宋体" w:cs="宋体"/>
          <w:color w:val="000000" w:themeColor="text1"/>
          <w:kern w:val="0"/>
          <w:sz w:val="24"/>
          <w:highlight w:val="none"/>
          <w14:textFill>
            <w14:solidFill>
              <w14:schemeClr w14:val="tx1"/>
            </w14:solidFill>
          </w14:textFill>
        </w:rPr>
        <w:t>应当在中标通知书发出之日起三十日内，按照招标文件确定的事项签订采购合同，并在合同签订之日起2个工作日内依法发布合同公告。</w:t>
      </w:r>
    </w:p>
    <w:p w14:paraId="66CA7E63">
      <w:pPr>
        <w:pStyle w:val="135"/>
        <w:snapToGrid w:val="0"/>
        <w:spacing w:before="0"/>
        <w:ind w:firstLine="480"/>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w:t>
      </w:r>
      <w:r>
        <w:rPr>
          <w:rFonts w:hint="eastAsia" w:ascii="宋体" w:hAnsi="宋体" w:cs="宋体"/>
          <w:color w:val="000000" w:themeColor="text1"/>
          <w:kern w:val="0"/>
          <w:highlight w:val="none"/>
          <w:lang w:val="zh-CN"/>
          <w14:textFill>
            <w14:solidFill>
              <w14:schemeClr w14:val="tx1"/>
            </w14:solidFill>
          </w14:textFill>
        </w:rPr>
        <w:t>中标单位</w:t>
      </w:r>
      <w:r>
        <w:rPr>
          <w:rFonts w:hint="eastAsia" w:ascii="宋体" w:hAnsi="宋体" w:eastAsia="宋体" w:cs="宋体"/>
          <w:color w:val="000000" w:themeColor="text1"/>
          <w:kern w:val="0"/>
          <w:highlight w:val="none"/>
          <w:lang w:val="zh-CN"/>
          <w14:textFill>
            <w14:solidFill>
              <w14:schemeClr w14:val="tx1"/>
            </w14:solidFill>
          </w14:textFill>
        </w:rPr>
        <w:t>按规定的日期、时间、地点，由法定代表人或其授权代表与</w:t>
      </w:r>
      <w:r>
        <w:rPr>
          <w:rFonts w:hint="eastAsia" w:ascii="宋体" w:hAnsi="宋体" w:cs="宋体"/>
          <w:color w:val="000000" w:themeColor="text1"/>
          <w:kern w:val="0"/>
          <w:highlight w:val="none"/>
          <w:lang w:val="zh-CN"/>
          <w14:textFill>
            <w14:solidFill>
              <w14:schemeClr w14:val="tx1"/>
            </w14:solidFill>
          </w14:textFill>
        </w:rPr>
        <w:t>采购单位</w:t>
      </w:r>
      <w:r>
        <w:rPr>
          <w:rFonts w:hint="eastAsia" w:ascii="宋体" w:hAnsi="宋体" w:eastAsia="宋体" w:cs="宋体"/>
          <w:color w:val="000000" w:themeColor="text1"/>
          <w:kern w:val="0"/>
          <w:highlight w:val="none"/>
          <w:lang w:val="zh-CN"/>
          <w14:textFill>
            <w14:solidFill>
              <w14:schemeClr w14:val="tx1"/>
            </w14:solidFill>
          </w14:textFill>
        </w:rPr>
        <w:t>代表签订合同。</w:t>
      </w:r>
    </w:p>
    <w:p w14:paraId="40943B89">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7A553F82">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w:t>
      </w:r>
      <w:r>
        <w:rPr>
          <w:rFonts w:hint="eastAsia" w:ascii="宋体" w:hAnsi="宋体"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拒绝与</w:t>
      </w:r>
      <w:r>
        <w:rPr>
          <w:rFonts w:hint="eastAsia" w:ascii="宋体" w:hAnsi="宋体"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签订合同的，</w:t>
      </w:r>
      <w:r>
        <w:rPr>
          <w:rFonts w:hint="eastAsia" w:ascii="宋体" w:hAnsi="宋体"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可以按照评审报告推荐的中标或者成交候选人名单排序，确定下一候选人为</w:t>
      </w:r>
      <w:r>
        <w:rPr>
          <w:rFonts w:hint="eastAsia" w:ascii="宋体" w:hAnsi="宋体"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，也可以重新开展采购活动。</w:t>
      </w:r>
    </w:p>
    <w:p w14:paraId="01A1796F">
      <w:pPr>
        <w:pStyle w:val="135"/>
        <w:snapToGrid w:val="0"/>
        <w:spacing w:before="0" w:after="120"/>
        <w:ind w:firstLine="48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w:t>
      </w:r>
      <w:r>
        <w:rPr>
          <w:rFonts w:hint="eastAsia" w:ascii="宋体" w:hAnsi="宋体"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与</w:t>
      </w:r>
      <w:r>
        <w:rPr>
          <w:rFonts w:hint="eastAsia" w:ascii="宋体" w:hAnsi="宋体"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根据招标文件、投标文件等内容签订</w:t>
      </w:r>
      <w:r>
        <w:rPr>
          <w:rFonts w:hint="eastAsia" w:ascii="宋体" w:hAnsi="宋体" w:eastAsia="宋体" w:cs="宋体"/>
          <w:color w:val="000000" w:themeColor="text1"/>
          <w:highlight w:val="none"/>
          <w:lang w:eastAsia="zh-CN"/>
          <w14:textFill>
            <w14:solidFill>
              <w14:schemeClr w14:val="tx1"/>
            </w14:solidFill>
          </w14:textFill>
        </w:rPr>
        <w:t>。</w:t>
      </w:r>
    </w:p>
    <w:bookmarkEnd w:id="10"/>
    <w:p w14:paraId="19FC571F">
      <w:pPr>
        <w:tabs>
          <w:tab w:val="left" w:pos="0"/>
        </w:tabs>
        <w:spacing w:line="360" w:lineRule="auto"/>
        <w:rPr>
          <w:rFonts w:hint="eastAsia" w:ascii="宋体" w:hAnsi="宋体" w:eastAsia="宋体" w:cs="宋体"/>
          <w:color w:val="000000" w:themeColor="text1"/>
          <w:kern w:val="0"/>
          <w:sz w:val="24"/>
          <w:highlight w:val="none"/>
          <w14:textFill>
            <w14:solidFill>
              <w14:schemeClr w14:val="tx1"/>
            </w14:solidFill>
          </w14:textFill>
        </w:rPr>
        <w:sectPr>
          <w:footerReference r:id="rId4" w:type="default"/>
          <w:pgSz w:w="11906" w:h="16838"/>
          <w:pgMar w:top="1417" w:right="1417" w:bottom="1434" w:left="1417" w:header="851" w:footer="992" w:gutter="0"/>
          <w:pgNumType w:fmt="decimal" w:start="1"/>
          <w:cols w:space="720" w:num="1"/>
          <w:docGrid w:linePitch="312" w:charSpace="0"/>
        </w:sectPr>
      </w:pPr>
      <w:bookmarkStart w:id="11" w:name="_Hlt74729768"/>
      <w:bookmarkEnd w:id="11"/>
      <w:bookmarkStart w:id="12" w:name="_Hlt68057669"/>
      <w:bookmarkEnd w:id="12"/>
      <w:bookmarkStart w:id="13" w:name="_Hlt74707468"/>
      <w:bookmarkEnd w:id="13"/>
      <w:bookmarkStart w:id="14" w:name="_Hlt68072998"/>
      <w:bookmarkEnd w:id="14"/>
      <w:bookmarkStart w:id="15" w:name="_Hlt68073093"/>
      <w:bookmarkEnd w:id="15"/>
      <w:bookmarkStart w:id="16" w:name="_Hlt68072990"/>
      <w:bookmarkEnd w:id="16"/>
      <w:bookmarkStart w:id="17" w:name="_Hlt75236011"/>
      <w:bookmarkEnd w:id="17"/>
      <w:bookmarkStart w:id="18" w:name="_Hlt68403820"/>
      <w:bookmarkEnd w:id="18"/>
      <w:bookmarkStart w:id="19" w:name="_Hlt75236101"/>
      <w:bookmarkEnd w:id="19"/>
      <w:bookmarkStart w:id="20" w:name="_Hlt74730295"/>
      <w:bookmarkEnd w:id="20"/>
      <w:bookmarkStart w:id="21" w:name="_Hlt75236290"/>
      <w:bookmarkEnd w:id="21"/>
      <w:bookmarkStart w:id="22" w:name="_Hlt74714665"/>
      <w:bookmarkEnd w:id="22"/>
    </w:p>
    <w:bookmarkEnd w:id="8"/>
    <w:bookmarkEnd w:id="9"/>
    <w:p w14:paraId="56C9276E">
      <w:pPr>
        <w:spacing w:line="360" w:lineRule="auto"/>
        <w:jc w:val="center"/>
        <w:outlineLvl w:val="0"/>
        <w:rPr>
          <w:rFonts w:hint="eastAsia" w:ascii="宋体" w:hAnsi="宋体" w:eastAsia="宋体" w:cs="宋体"/>
          <w:color w:val="000000" w:themeColor="text1"/>
          <w:highlight w:val="none"/>
          <w14:textFill>
            <w14:solidFill>
              <w14:schemeClr w14:val="tx1"/>
            </w14:solidFill>
          </w14:textFill>
        </w:rPr>
      </w:pPr>
      <w:bookmarkStart w:id="23"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14:paraId="080ECF65">
      <w:pPr>
        <w:pStyle w:val="135"/>
        <w:snapToGrid w:val="0"/>
        <w:spacing w:before="0"/>
        <w:ind w:left="0" w:leftChars="0" w:firstLine="0" w:firstLineChars="0"/>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一、项目概要</w:t>
      </w:r>
    </w:p>
    <w:p w14:paraId="2AA409EE">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项目内容：</w:t>
      </w:r>
      <w:r>
        <w:rPr>
          <w:rFonts w:hint="eastAsia" w:ascii="宋体" w:hAnsi="宋体" w:cs="宋体"/>
          <w:color w:val="000000" w:themeColor="text1"/>
          <w:kern w:val="0"/>
          <w:sz w:val="24"/>
          <w:highlight w:val="none"/>
          <w:lang w:val="en-US" w:eastAsia="zh-CN"/>
          <w14:textFill>
            <w14:solidFill>
              <w14:schemeClr w14:val="tx1"/>
            </w14:solidFill>
          </w14:textFill>
        </w:rPr>
        <w:t>2025年桐庐县青少年宫消防维保服务</w:t>
      </w:r>
      <w:r>
        <w:rPr>
          <w:rFonts w:hint="eastAsia" w:ascii="宋体" w:hAnsi="宋体" w:eastAsia="宋体" w:cs="宋体"/>
          <w:color w:val="000000" w:themeColor="text1"/>
          <w:kern w:val="0"/>
          <w:sz w:val="24"/>
          <w:highlight w:val="none"/>
          <w:lang w:val="zh-CN" w:eastAsia="zh-CN"/>
          <w14:textFill>
            <w14:solidFill>
              <w14:schemeClr w14:val="tx1"/>
            </w14:solidFill>
          </w14:textFill>
        </w:rPr>
        <w:t>。</w:t>
      </w:r>
    </w:p>
    <w:p w14:paraId="302BAF07">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cs="宋体"/>
          <w:b w:val="0"/>
          <w:bCs/>
          <w:color w:val="000000" w:themeColor="text1"/>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eastAsia="zh-CN"/>
          <w14:textFill>
            <w14:solidFill>
              <w14:schemeClr w14:val="tx1"/>
            </w14:solidFill>
          </w14:textFill>
        </w:rPr>
        <w:t>服务期：</w:t>
      </w:r>
      <w:r>
        <w:rPr>
          <w:rFonts w:hint="eastAsia" w:ascii="宋体" w:hAnsi="宋体" w:cs="宋体"/>
          <w:color w:val="000000" w:themeColor="text1"/>
          <w:kern w:val="0"/>
          <w:sz w:val="24"/>
          <w:highlight w:val="none"/>
          <w:lang w:val="zh-CN" w:eastAsia="zh-CN"/>
          <w14:textFill>
            <w14:solidFill>
              <w14:schemeClr w14:val="tx1"/>
            </w14:solidFill>
          </w14:textFill>
        </w:rPr>
        <w:t>一年</w:t>
      </w:r>
      <w:r>
        <w:rPr>
          <w:rFonts w:hint="eastAsia" w:ascii="宋体" w:hAnsi="宋体" w:eastAsia="宋体" w:cs="宋体"/>
          <w:color w:val="000000" w:themeColor="text1"/>
          <w:kern w:val="0"/>
          <w:sz w:val="24"/>
          <w:highlight w:val="none"/>
          <w:lang w:val="zh-CN" w:eastAsia="zh-CN"/>
          <w14:textFill>
            <w14:solidFill>
              <w14:schemeClr w14:val="tx1"/>
            </w14:solidFill>
          </w14:textFill>
        </w:rPr>
        <w:t>，</w:t>
      </w:r>
      <w:r>
        <w:rPr>
          <w:rFonts w:hint="eastAsia" w:ascii="宋体" w:hAnsi="宋体" w:eastAsia="宋体" w:cs="宋体"/>
          <w:b w:val="0"/>
          <w:bCs/>
          <w:color w:val="000000" w:themeColor="text1"/>
          <w:sz w:val="24"/>
          <w:highlight w:val="none"/>
          <w:lang w:val="zh-CN" w:eastAsia="zh-CN"/>
          <w14:textFill>
            <w14:solidFill>
              <w14:schemeClr w14:val="tx1"/>
            </w14:solidFill>
          </w14:textFill>
        </w:rPr>
        <w:t>具体起止时间</w:t>
      </w:r>
      <w:r>
        <w:rPr>
          <w:rFonts w:hint="eastAsia" w:ascii="宋体" w:hAnsi="宋体" w:cs="宋体"/>
          <w:b w:val="0"/>
          <w:bCs/>
          <w:color w:val="000000" w:themeColor="text1"/>
          <w:sz w:val="24"/>
          <w:highlight w:val="none"/>
          <w:lang w:val="en-US" w:eastAsia="zh-CN"/>
          <w14:textFill>
            <w14:solidFill>
              <w14:schemeClr w14:val="tx1"/>
            </w14:solidFill>
          </w14:textFill>
        </w:rPr>
        <w:t>以合同签订为准</w:t>
      </w:r>
      <w:r>
        <w:rPr>
          <w:rFonts w:hint="eastAsia" w:ascii="宋体" w:hAnsi="宋体" w:cs="宋体"/>
          <w:b w:val="0"/>
          <w:bCs/>
          <w:color w:val="000000" w:themeColor="text1"/>
          <w:sz w:val="24"/>
          <w:highlight w:val="none"/>
          <w:lang w:val="zh-CN" w:eastAsia="zh-CN"/>
          <w14:textFill>
            <w14:solidFill>
              <w14:schemeClr w14:val="tx1"/>
            </w14:solidFill>
          </w14:textFill>
        </w:rPr>
        <w:t>。</w:t>
      </w:r>
    </w:p>
    <w:p w14:paraId="68B9A58D">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eastAsia="zh-CN"/>
          <w14:textFill>
            <w14:solidFill>
              <w14:schemeClr w14:val="tx1"/>
            </w14:solidFill>
          </w14:textFill>
        </w:rPr>
        <w:t>服务地点：桐庐县青少年宫（</w:t>
      </w:r>
      <w:r>
        <w:rPr>
          <w:rFonts w:hint="eastAsia" w:ascii="宋体" w:hAnsi="宋体" w:eastAsia="宋体" w:cs="宋体"/>
          <w:color w:val="000000" w:themeColor="text1"/>
          <w:kern w:val="0"/>
          <w:sz w:val="24"/>
          <w:highlight w:val="none"/>
          <w:lang w:val="en-US" w:eastAsia="zh-CN"/>
          <w14:textFill>
            <w14:solidFill>
              <w14:schemeClr w14:val="tx1"/>
            </w14:solidFill>
          </w14:textFill>
        </w:rPr>
        <w:t>桐庐县城南街道白云源路1588号</w:t>
      </w:r>
      <w:r>
        <w:rPr>
          <w:rFonts w:hint="eastAsia" w:ascii="宋体" w:hAnsi="宋体" w:eastAsia="宋体" w:cs="宋体"/>
          <w:color w:val="000000" w:themeColor="text1"/>
          <w:kern w:val="0"/>
          <w:sz w:val="24"/>
          <w:highlight w:val="none"/>
          <w:lang w:val="zh-CN" w:eastAsia="zh-CN"/>
          <w14:textFill>
            <w14:solidFill>
              <w14:schemeClr w14:val="tx1"/>
            </w14:solidFill>
          </w14:textFill>
        </w:rPr>
        <w:t>）</w:t>
      </w:r>
    </w:p>
    <w:p w14:paraId="3FF712A1">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zh-CN" w:eastAsia="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eastAsia="zh-CN"/>
          <w14:textFill>
            <w14:solidFill>
              <w14:schemeClr w14:val="tx1"/>
            </w14:solidFill>
          </w14:textFill>
        </w:rPr>
        <w:t>现场条件</w:t>
      </w:r>
    </w:p>
    <w:p w14:paraId="484C342E">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4.1</w:t>
      </w:r>
      <w:r>
        <w:rPr>
          <w:rFonts w:hint="eastAsia" w:ascii="宋体" w:hAnsi="宋体" w:eastAsia="宋体" w:cs="宋体"/>
          <w:color w:val="000000" w:themeColor="text1"/>
          <w:kern w:val="0"/>
          <w:sz w:val="24"/>
          <w:highlight w:val="none"/>
          <w:lang w:val="zh-CN" w:eastAsia="zh-CN"/>
          <w14:textFill>
            <w14:solidFill>
              <w14:schemeClr w14:val="tx1"/>
            </w14:solidFill>
          </w14:textFill>
        </w:rPr>
        <w:t>已具备实施条件，但实施不能影响</w:t>
      </w:r>
      <w:r>
        <w:rPr>
          <w:rFonts w:hint="eastAsia" w:ascii="宋体" w:hAnsi="宋体" w:eastAsia="宋体" w:cs="宋体"/>
          <w:color w:val="000000" w:themeColor="text1"/>
          <w:kern w:val="0"/>
          <w:sz w:val="24"/>
          <w:highlight w:val="none"/>
          <w:lang w:val="en-US" w:eastAsia="zh-CN"/>
          <w14:textFill>
            <w14:solidFill>
              <w14:schemeClr w14:val="tx1"/>
            </w14:solidFill>
          </w14:textFill>
        </w:rPr>
        <w:t>桐庐县青少年宫</w:t>
      </w:r>
      <w:r>
        <w:rPr>
          <w:rFonts w:hint="eastAsia" w:ascii="宋体" w:hAnsi="宋体" w:eastAsia="宋体" w:cs="宋体"/>
          <w:color w:val="000000" w:themeColor="text1"/>
          <w:kern w:val="0"/>
          <w:sz w:val="24"/>
          <w:highlight w:val="none"/>
          <w:lang w:val="zh-CN" w:eastAsia="zh-CN"/>
          <w14:textFill>
            <w14:solidFill>
              <w14:schemeClr w14:val="tx1"/>
            </w14:solidFill>
          </w14:textFill>
        </w:rPr>
        <w:t>正常工作。</w:t>
      </w:r>
    </w:p>
    <w:p w14:paraId="6757E669">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4.2</w:t>
      </w:r>
      <w:r>
        <w:rPr>
          <w:rFonts w:hint="eastAsia" w:ascii="宋体" w:hAnsi="宋体" w:cs="宋体"/>
          <w:color w:val="000000" w:themeColor="text1"/>
          <w:kern w:val="0"/>
          <w:sz w:val="24"/>
          <w:highlight w:val="none"/>
          <w:lang w:val="zh-CN" w:eastAsia="zh-CN"/>
          <w14:textFill>
            <w14:solidFill>
              <w14:schemeClr w14:val="tx1"/>
            </w14:solidFill>
          </w14:textFill>
        </w:rPr>
        <w:t>采购单位</w:t>
      </w:r>
      <w:r>
        <w:rPr>
          <w:rFonts w:hint="eastAsia" w:ascii="宋体" w:hAnsi="宋体" w:eastAsia="宋体" w:cs="宋体"/>
          <w:color w:val="000000" w:themeColor="text1"/>
          <w:kern w:val="0"/>
          <w:sz w:val="24"/>
          <w:highlight w:val="none"/>
          <w:lang w:val="zh-CN" w:eastAsia="zh-CN"/>
          <w14:textFill>
            <w14:solidFill>
              <w14:schemeClr w14:val="tx1"/>
            </w14:solidFill>
          </w14:textFill>
        </w:rPr>
        <w:t>不组织现场踏勘，</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zh-CN" w:eastAsia="zh-CN"/>
          <w14:textFill>
            <w14:solidFill>
              <w14:schemeClr w14:val="tx1"/>
            </w14:solidFill>
          </w14:textFill>
        </w:rPr>
        <w:t>应自行对现场和周围环境进行踏勘和了解，并充分考虑影响本次报价的因素、预计实施过程中各种不利因素，由此可能发生的费用均由</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zh-CN" w:eastAsia="zh-CN"/>
          <w14:textFill>
            <w14:solidFill>
              <w14:schemeClr w14:val="tx1"/>
            </w14:solidFill>
          </w14:textFill>
        </w:rPr>
        <w:t>考虑并包含在报价中。</w:t>
      </w:r>
      <w:r>
        <w:rPr>
          <w:rFonts w:hint="eastAsia" w:ascii="宋体" w:hAnsi="宋体" w:eastAsia="宋体" w:cs="宋体"/>
          <w:color w:val="000000" w:themeColor="text1"/>
          <w:kern w:val="0"/>
          <w:sz w:val="24"/>
          <w:highlight w:val="none"/>
          <w:lang w:val="en-US" w:eastAsia="zh-CN"/>
          <w14:textFill>
            <w14:solidFill>
              <w14:schemeClr w14:val="tx1"/>
            </w14:solidFill>
          </w14:textFill>
        </w:rPr>
        <w:t>中标</w:t>
      </w:r>
      <w:r>
        <w:rPr>
          <w:rFonts w:hint="eastAsia" w:ascii="宋体" w:hAnsi="宋体" w:eastAsia="宋体" w:cs="宋体"/>
          <w:color w:val="000000" w:themeColor="text1"/>
          <w:kern w:val="0"/>
          <w:sz w:val="24"/>
          <w:highlight w:val="none"/>
          <w:lang w:val="zh-CN" w:eastAsia="zh-CN"/>
          <w14:textFill>
            <w14:solidFill>
              <w14:schemeClr w14:val="tx1"/>
            </w14:solidFill>
          </w14:textFill>
        </w:rPr>
        <w:t>成交后，供应商不得再以不完全了解现场情况等为理由而提出额外付款或延长交货期等的要求，若有此类要求，</w:t>
      </w:r>
      <w:r>
        <w:rPr>
          <w:rFonts w:hint="eastAsia" w:ascii="宋体" w:hAnsi="宋体" w:cs="宋体"/>
          <w:color w:val="000000" w:themeColor="text1"/>
          <w:kern w:val="0"/>
          <w:sz w:val="24"/>
          <w:highlight w:val="none"/>
          <w:lang w:val="zh-CN" w:eastAsia="zh-CN"/>
          <w14:textFill>
            <w14:solidFill>
              <w14:schemeClr w14:val="tx1"/>
            </w14:solidFill>
          </w14:textFill>
        </w:rPr>
        <w:t>采购单位</w:t>
      </w:r>
      <w:r>
        <w:rPr>
          <w:rFonts w:hint="eastAsia" w:ascii="宋体" w:hAnsi="宋体" w:eastAsia="宋体" w:cs="宋体"/>
          <w:color w:val="000000" w:themeColor="text1"/>
          <w:kern w:val="0"/>
          <w:sz w:val="24"/>
          <w:highlight w:val="none"/>
          <w:lang w:val="zh-CN" w:eastAsia="zh-CN"/>
          <w14:textFill>
            <w14:solidFill>
              <w14:schemeClr w14:val="tx1"/>
            </w14:solidFill>
          </w14:textFill>
        </w:rPr>
        <w:t>将不</w:t>
      </w:r>
      <w:r>
        <w:rPr>
          <w:rFonts w:hint="eastAsia" w:ascii="宋体" w:hAnsi="宋体" w:cs="宋体"/>
          <w:color w:val="000000" w:themeColor="text1"/>
          <w:kern w:val="0"/>
          <w:sz w:val="24"/>
          <w:highlight w:val="none"/>
          <w:lang w:val="zh-CN" w:eastAsia="zh-CN"/>
          <w14:textFill>
            <w14:solidFill>
              <w14:schemeClr w14:val="tx1"/>
            </w14:solidFill>
          </w14:textFill>
        </w:rPr>
        <w:t>做</w:t>
      </w:r>
      <w:r>
        <w:rPr>
          <w:rFonts w:hint="eastAsia" w:ascii="宋体" w:hAnsi="宋体" w:eastAsia="宋体" w:cs="宋体"/>
          <w:color w:val="000000" w:themeColor="text1"/>
          <w:kern w:val="0"/>
          <w:sz w:val="24"/>
          <w:highlight w:val="none"/>
          <w:lang w:val="zh-CN" w:eastAsia="zh-CN"/>
          <w14:textFill>
            <w14:solidFill>
              <w14:schemeClr w14:val="tx1"/>
            </w14:solidFill>
          </w14:textFill>
        </w:rPr>
        <w:t>任何答复与考虑，供应商应承担现场踏勘的责任和风险，踏勘现场的费用由</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zh-CN" w:eastAsia="zh-CN"/>
          <w14:textFill>
            <w14:solidFill>
              <w14:schemeClr w14:val="tx1"/>
            </w14:solidFill>
          </w14:textFill>
        </w:rPr>
        <w:t>自行承担。</w:t>
      </w:r>
    </w:p>
    <w:p w14:paraId="16D41014">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二、消防维保清单</w:t>
      </w:r>
    </w:p>
    <w:tbl>
      <w:tblPr>
        <w:tblStyle w:val="62"/>
        <w:tblW w:w="8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1"/>
        <w:gridCol w:w="2309"/>
        <w:gridCol w:w="3979"/>
        <w:gridCol w:w="778"/>
      </w:tblGrid>
      <w:tr w14:paraId="27BB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0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3C3B">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检查保养项目及内容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E23E0">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保养</w:t>
            </w:r>
          </w:p>
          <w:p w14:paraId="547162D7">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周期</w:t>
            </w:r>
          </w:p>
        </w:tc>
      </w:tr>
      <w:tr w14:paraId="4A952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11D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消防供配电设施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1F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消防配电柜（箱）</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76614">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试验主、备电切换功能；消防电源主、备电源供电能力测试</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BA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4A6F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33B3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AA64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联动实验</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F6F74">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试验非消防电源的联动切断功能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75B86">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4F7C1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B96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火灾自动报警系统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6BB5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火灾探测器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B8122">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57BC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D5B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F228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CA90C">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手动报警按钮</w:t>
            </w:r>
          </w:p>
        </w:tc>
        <w:tc>
          <w:tcPr>
            <w:tcW w:w="3979" w:type="dxa"/>
            <w:tcBorders>
              <w:top w:val="nil"/>
              <w:left w:val="nil"/>
              <w:bottom w:val="nil"/>
              <w:right w:val="nil"/>
            </w:tcBorders>
            <w:shd w:val="clear" w:color="auto" w:fill="auto"/>
            <w:noWrap/>
            <w:vAlign w:val="bottom"/>
          </w:tcPr>
          <w:p w14:paraId="5324D807">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8B6B7">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3BEA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B8A6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9ADFE">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监管装置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4AA46">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试验监管装置报警功能，屏蔽信息显示功能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32084">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D1D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A971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7B8C8">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警报装置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C5616">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试验警报功能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99CD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1719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F775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6A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报警控制器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1EC76">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试验火警报警、故障报警、火警优先、打印机打印、自检、消音等功能，火灾显示盘和CRT显示屏的报警、显示功能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9B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150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85C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41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消防联动控制器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CFD7D">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试验联动控制器及控制模块的手动、自动联动控制功能，试验控制器显示功能，试验电源部分主、备电源切换功能，备用电源充、放电功能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4F1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1A48D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F65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消防供水设施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D4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消防水池</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7F90BA">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核对储水量、自动进水阀进水功能，液位检测装置报警功能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E96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0E55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A45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81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消防水箱</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411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核对储水量、自动进水阀进水功能、模拟消防水箱出水，测试消防水箱供水能力、液位检测装置报警功能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80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00B8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41B5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B59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稳（增）压泵及气压水罐</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F6790A">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模拟系统渗漏，测试稳压泵、增压泵及气压水罐稳压、增压能力，自动启泵、停泵及联动启动主泵的压力工况，主、备泵切换功能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DA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3BC6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3CA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56B8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消防水泵及控制柜</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91793">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试验手动/自动启泵功能和主、备泵切换功能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08DE6">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13EB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AD8B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2F15D">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水泵接合器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44064">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外观及附件完整情况，标识。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831D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714F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6FE6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0EAA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阀门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5F0E1">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试验控制阀门启闭功能、减压装置减压功能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12C38">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4E037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926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消火栓（消防炮）灭火系统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20CE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室内消火栓</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78E995">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试验屋顶消火栓出水压力、静压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587A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25D7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ED26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A824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消防水喉（自救卷盘）</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C661">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射水实验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00CEA">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5010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75E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14BCA">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消火栓按钮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24C5C">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试验信号反馈功能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C37BB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104D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5DA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83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2DAE9">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自动方式下，分别利用远距离启泵按钮、消防联动控制盘控制按钮启动消防水泵，测试最不利点消火栓（消防炮）出水压力；具有火灾探测控制功能的消防炮系统，应模拟自动启动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E2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3343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A25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自动喷水灭火系统</w:t>
            </w:r>
          </w:p>
        </w:tc>
        <w:tc>
          <w:tcPr>
            <w:tcW w:w="2309" w:type="dxa"/>
            <w:tcBorders>
              <w:top w:val="nil"/>
              <w:left w:val="nil"/>
              <w:bottom w:val="nil"/>
              <w:right w:val="nil"/>
            </w:tcBorders>
            <w:shd w:val="clear" w:color="auto" w:fill="auto"/>
            <w:noWrap/>
            <w:vAlign w:val="center"/>
          </w:tcPr>
          <w:p w14:paraId="560D02A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报警阀组</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03EFF">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试验报警阀组试验排放阀排水功能，压力开关、水力警铃报警功能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05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季</w:t>
            </w:r>
          </w:p>
        </w:tc>
      </w:tr>
      <w:tr w14:paraId="2D2C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04FC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FF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末端试水装置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A81804">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试验末端放水测试工作压力、水流指示器、压力开关动作信号、水质情况，楼层末端试验阀功能试验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EBB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季</w:t>
            </w:r>
          </w:p>
        </w:tc>
      </w:tr>
      <w:tr w14:paraId="561C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A4AA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AF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探测、报警装置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EA7A7">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测试火灾探测传动装置的火灾探测及控制功能、手动控制装置控制功能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73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68A6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4F1E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64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0FE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在系统末端放水或排气，进行系统联动功能试验，测试水流指示器、联动控制功能应模拟系统自动启动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4B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4C19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465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机械加压送风系统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84DB8">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送风口</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1D399">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测试手动/自动开启功能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CEFF4">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半年</w:t>
            </w:r>
          </w:p>
        </w:tc>
      </w:tr>
      <w:tr w14:paraId="025F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DA56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5D0F9A">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送风机</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E89D2">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测试手动/自动启动、停止功能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891C6">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季</w:t>
            </w:r>
          </w:p>
        </w:tc>
      </w:tr>
      <w:tr w14:paraId="712E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F2AA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97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送风量、风速、风压</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DED638">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测试最大负荷状态下，系统送风量、风速、风压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60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6305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A762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E1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C84A3">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通过报警联动，检查防火阀、送风自动开启和启动功能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1A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1D7E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E7D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机械排烟系统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F7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排烟阀、电动排烟阀、排烟防火阀</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94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测试排烟阀、排烟防火阀手动/自动开启功能，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4B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半年</w:t>
            </w:r>
          </w:p>
        </w:tc>
      </w:tr>
      <w:tr w14:paraId="63468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27C6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B1DF3">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自动排烟窗、排</w:t>
            </w:r>
          </w:p>
          <w:p w14:paraId="7E543F6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烟风机、活动挡烟垂壁</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05A6">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测试手动/自动启动、排烟防火阀联动停止功能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77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季</w:t>
            </w:r>
          </w:p>
        </w:tc>
      </w:tr>
      <w:tr w14:paraId="6F1D9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BD6D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588B9">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排烟风量、风速</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D36FF">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测试最大负荷状态下，系统排烟风量、风速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2B83B">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3B84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6D2A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F6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62F2CD">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通过报警联动，检查电动挡烟垂壁、电动排烟阀、电动排烟窗的功能，检查排烟风机的性能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10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B05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CF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应急照明系统</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8DCC8">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切断正常供电，测量应急灯具照度、电源切换、充电、放电功能；测试应急电源供电时间；通过报警联动，检查应急灯具自动投入功能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F6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3005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EDD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应急广播系统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3B6E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扬声器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45F7F">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测量音量、音质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174B7">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329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4D54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8A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功放、卡座、分配盘</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4EA83">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测试卡座的播音、录音功能，测试功放的扩音功能，测试分配盘的选层广播功能，测试合用广播系统应急强制切换功能，测试主、备扩音机切换功能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912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C20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C7A6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B9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DA2E0">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通过报警联动，检查合用广播系统应急强制切换功能、扬声器播音质量及音量，卡座录音功能，分配盘分区及选层广播功能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BC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C921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03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消防专用电话</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72FF3">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测试消防电话主机与电话分机、插扎电话之间通话质量：电话主机录音功能；拨打</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0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3C96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62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防火分隔</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35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678F27">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试验非电动防火门的启闭功能及密封性能，测试电动防火门自动、现场释放功能及信号反馈功能，通过报警联动，检查电动防火门释放功能、喷水冷却装置的联动启动功能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49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4C4C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42E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855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防火卷帘</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847E">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试验防火卷帘的手动、机械应急和自动控制功能、信号反馈功能、封闭性能，通过报警联动，检查防火卷帘门自动释放功能及喷水冷却装置的联动启动功能，测试有延时功能的防火卷帘的延时时间、声光指示</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386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212A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770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灭火器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E63D00">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核对选型、压力和有效期对同批次的灭火器随机抽取一定数量进行灭火、喷射等</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性能试验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259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bl>
    <w:p w14:paraId="7B03FF48">
      <w:pPr>
        <w:rPr>
          <w:rFonts w:hint="eastAsia"/>
          <w:color w:val="000000" w:themeColor="text1"/>
          <w:highlight w:val="none"/>
          <w:lang w:eastAsia="zh-CN"/>
          <w14:textFill>
            <w14:solidFill>
              <w14:schemeClr w14:val="tx1"/>
            </w14:solidFill>
          </w14:textFill>
        </w:rPr>
      </w:pPr>
    </w:p>
    <w:p w14:paraId="56CFC943">
      <w:pPr>
        <w:rPr>
          <w:color w:val="000000" w:themeColor="text1"/>
          <w:highlight w:val="none"/>
          <w14:textFill>
            <w14:solidFill>
              <w14:schemeClr w14:val="tx1"/>
            </w14:solidFill>
          </w14:textFill>
        </w:rPr>
      </w:pPr>
      <w:r>
        <w:rPr>
          <w:rFonts w:hint="eastAsia"/>
          <w:b/>
          <w:bCs/>
          <w:color w:val="000000" w:themeColor="text1"/>
          <w:sz w:val="28"/>
          <w:szCs w:val="36"/>
          <w:highlight w:val="none"/>
          <w:lang w:val="en-US" w:eastAsia="zh-CN"/>
          <w14:textFill>
            <w14:solidFill>
              <w14:schemeClr w14:val="tx1"/>
            </w14:solidFill>
          </w14:textFill>
        </w:rPr>
        <w:t>注：年度维保结束前需出具一份桐庐县青少年宫的消防设施检测报告。桐庐县青少年宫消防维保内容包括但不限于以上内容，最终消防维保内容以采购人实际要求为准。</w:t>
      </w:r>
    </w:p>
    <w:p w14:paraId="35F6B577">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三、安全协议</w:t>
      </w:r>
    </w:p>
    <w:p w14:paraId="75660517">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应负责其下属人员所有操作及管理人员的安全培训，如发生任何安全事故（人身安全及设备安全事故），应由投标</w:t>
      </w:r>
      <w:r>
        <w:rPr>
          <w:rFonts w:hint="eastAsia" w:ascii="宋体" w:hAnsi="宋体" w:eastAsia="宋体" w:cs="宋体"/>
          <w:color w:val="000000" w:themeColor="text1"/>
          <w:kern w:val="0"/>
          <w:sz w:val="24"/>
          <w:highlight w:val="none"/>
          <w:lang w:val="zh-CN" w:eastAsia="zh-CN"/>
          <w14:textFill>
            <w14:solidFill>
              <w14:schemeClr w14:val="tx1"/>
            </w14:solidFill>
          </w14:textFill>
        </w:rPr>
        <w:t>供应商</w:t>
      </w:r>
      <w:r>
        <w:rPr>
          <w:rFonts w:hint="eastAsia" w:ascii="宋体" w:hAnsi="宋体" w:eastAsia="宋体" w:cs="宋体"/>
          <w:color w:val="000000" w:themeColor="text1"/>
          <w:kern w:val="0"/>
          <w:sz w:val="24"/>
          <w:highlight w:val="none"/>
          <w:lang w:val="en-US" w:eastAsia="zh-CN"/>
          <w14:textFill>
            <w14:solidFill>
              <w14:schemeClr w14:val="tx1"/>
            </w14:solidFill>
          </w14:textFill>
        </w:rPr>
        <w:t>负责，与</w:t>
      </w:r>
      <w:r>
        <w:rPr>
          <w:rFonts w:hint="eastAsia" w:ascii="宋体" w:hAnsi="宋体" w:cs="宋体"/>
          <w:color w:val="000000" w:themeColor="text1"/>
          <w:kern w:val="0"/>
          <w:sz w:val="24"/>
          <w:highlight w:val="none"/>
          <w:lang w:val="en-US" w:eastAsia="zh-CN"/>
          <w14:textFill>
            <w14:solidFill>
              <w14:schemeClr w14:val="tx1"/>
            </w14:solidFill>
          </w14:textFill>
        </w:rPr>
        <w:t>采购单位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无关。</w:t>
      </w:r>
    </w:p>
    <w:p w14:paraId="53251D57">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w:t>
      </w:r>
      <w:r>
        <w:rPr>
          <w:rFonts w:hint="eastAsia" w:ascii="宋体" w:hAnsi="宋体" w:eastAsia="宋体" w:cs="宋体"/>
          <w:color w:val="000000" w:themeColor="text1"/>
          <w:kern w:val="0"/>
          <w:sz w:val="24"/>
          <w:highlight w:val="none"/>
          <w:lang w:val="zh-CN" w:eastAsia="zh-CN"/>
          <w14:textFill>
            <w14:solidFill>
              <w14:schemeClr w14:val="tx1"/>
            </w14:solidFill>
          </w14:textFill>
        </w:rPr>
        <w:t>供应商</w:t>
      </w:r>
      <w:r>
        <w:rPr>
          <w:rFonts w:hint="eastAsia" w:ascii="宋体" w:hAnsi="宋体" w:eastAsia="宋体" w:cs="宋体"/>
          <w:color w:val="000000" w:themeColor="text1"/>
          <w:kern w:val="0"/>
          <w:sz w:val="24"/>
          <w:highlight w:val="none"/>
          <w:lang w:val="en-US" w:eastAsia="zh-CN"/>
          <w14:textFill>
            <w14:solidFill>
              <w14:schemeClr w14:val="tx1"/>
            </w14:solidFill>
          </w14:textFill>
        </w:rPr>
        <w:t>必须按规定办理有关保险。</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应自行承担合同履行过程中的安全生产责任，如有任何人身意外伤害责任，均与</w:t>
      </w:r>
      <w:r>
        <w:rPr>
          <w:rFonts w:hint="eastAsia" w:ascii="宋体" w:hAnsi="宋体" w:cs="宋体"/>
          <w:color w:val="000000" w:themeColor="text1"/>
          <w:kern w:val="0"/>
          <w:sz w:val="24"/>
          <w:highlight w:val="none"/>
          <w:lang w:val="en-US" w:eastAsia="zh-CN"/>
          <w14:textFill>
            <w14:solidFill>
              <w14:schemeClr w14:val="tx1"/>
            </w14:solidFill>
          </w14:textFill>
        </w:rPr>
        <w:t>采购单位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无关。</w:t>
      </w:r>
    </w:p>
    <w:p w14:paraId="0140C309">
      <w:pPr>
        <w:keepNext w:val="0"/>
        <w:keepLines w:val="0"/>
        <w:pageBreakBefore w:val="0"/>
        <w:widowControl w:val="0"/>
        <w:kinsoku/>
        <w:wordWrap/>
        <w:overflowPunct/>
        <w:topLinePunct w:val="0"/>
        <w:autoSpaceDE/>
        <w:autoSpaceDN/>
        <w:bidi w:val="0"/>
        <w:adjustRightInd w:val="0"/>
        <w:snapToGrid w:val="0"/>
        <w:spacing w:before="313" w:beforeLines="100" w:after="157" w:afterLines="50" w:line="360" w:lineRule="auto"/>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8"/>
          <w:szCs w:val="28"/>
          <w:highlight w:val="none"/>
          <w14:textFill>
            <w14:solidFill>
              <w14:schemeClr w14:val="tx1"/>
            </w14:solidFill>
          </w14:textFill>
        </w:rPr>
        <w:t>、项目质量目标</w:t>
      </w:r>
    </w:p>
    <w:p w14:paraId="649823A4">
      <w:pPr>
        <w:snapToGrid w:val="0"/>
        <w:spacing w:line="360" w:lineRule="auto"/>
        <w:ind w:firstLine="480" w:firstLineChars="200"/>
        <w:rPr>
          <w:rFonts w:hint="eastAsia"/>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符合</w:t>
      </w:r>
      <w:r>
        <w:rPr>
          <w:rFonts w:hint="eastAsia" w:ascii="宋体" w:hAnsi="宋体" w:cs="宋体"/>
          <w:color w:val="000000" w:themeColor="text1"/>
          <w:kern w:val="0"/>
          <w:sz w:val="24"/>
          <w:highlight w:val="none"/>
          <w:lang w:val="en-US" w:eastAsia="zh-CN"/>
          <w14:textFill>
            <w14:solidFill>
              <w14:schemeClr w14:val="tx1"/>
            </w14:solidFill>
          </w14:textFill>
        </w:rPr>
        <w:t>国家消防</w:t>
      </w:r>
      <w:r>
        <w:rPr>
          <w:rFonts w:hint="eastAsia" w:ascii="宋体" w:hAnsi="宋体" w:eastAsia="宋体" w:cs="宋体"/>
          <w:color w:val="000000" w:themeColor="text1"/>
          <w:kern w:val="0"/>
          <w:sz w:val="24"/>
          <w:highlight w:val="none"/>
          <w:lang w:val="en-US" w:eastAsia="zh-CN"/>
          <w14:textFill>
            <w14:solidFill>
              <w14:schemeClr w14:val="tx1"/>
            </w14:solidFill>
          </w14:textFill>
        </w:rPr>
        <w:t>验收标准。</w:t>
      </w:r>
    </w:p>
    <w:p w14:paraId="0A26B6F7">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360" w:lineRule="auto"/>
        <w:textAlignment w:val="auto"/>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14:textFill>
            <w14:solidFill>
              <w14:schemeClr w14:val="tx1"/>
            </w14:solidFill>
          </w14:textFill>
        </w:rPr>
        <w:t>五、支付方式</w:t>
      </w:r>
    </w:p>
    <w:p w14:paraId="609C8AF3">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年度服务期满，经采购单位验收及考核通过后15个工作日内一次性支付合同款；若考核不合格，采购单位有权取消合同。</w:t>
      </w:r>
    </w:p>
    <w:p w14:paraId="0A0442D5">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（注：消防维保工作考核标准详见附件）</w:t>
      </w:r>
    </w:p>
    <w:p w14:paraId="48A8087A">
      <w:pPr>
        <w:snapToGrid w:val="0"/>
        <w:spacing w:line="360" w:lineRule="auto"/>
        <w:rPr>
          <w:rFonts w:hint="eastAsia" w:ascii="宋体" w:hAnsi="宋体" w:eastAsia="宋体" w:cs="宋体"/>
          <w:b/>
          <w:color w:val="000000" w:themeColor="text1"/>
          <w:sz w:val="32"/>
          <w:highlight w:val="none"/>
          <w:lang w:val="en-US" w:eastAsia="zh-CN"/>
          <w14:textFill>
            <w14:solidFill>
              <w14:schemeClr w14:val="tx1"/>
            </w14:solidFill>
          </w14:textFill>
        </w:rPr>
      </w:pPr>
    </w:p>
    <w:p w14:paraId="68D77E8A">
      <w:pPr>
        <w:rPr>
          <w:color w:val="000000" w:themeColor="text1"/>
          <w:highlight w:val="none"/>
          <w14:textFill>
            <w14:solidFill>
              <w14:schemeClr w14:val="tx1"/>
            </w14:solidFill>
          </w14:textFill>
        </w:rPr>
      </w:pPr>
    </w:p>
    <w:p w14:paraId="0399E29E">
      <w:pPr>
        <w:rPr>
          <w:rFonts w:hint="eastAsia" w:ascii="宋体" w:hAnsi="宋体" w:eastAsia="宋体" w:cs="宋体"/>
          <w:b/>
          <w:color w:val="000000" w:themeColor="text1"/>
          <w:sz w:val="32"/>
          <w:highlight w:val="none"/>
          <w:lang w:val="en-US" w:eastAsia="zh-CN"/>
          <w14:textFill>
            <w14:solidFill>
              <w14:schemeClr w14:val="tx1"/>
            </w14:solidFill>
          </w14:textFill>
        </w:rPr>
      </w:pPr>
    </w:p>
    <w:p w14:paraId="33AD4A41">
      <w:pPr>
        <w:pStyle w:val="2"/>
        <w:rPr>
          <w:rFonts w:hint="eastAsia" w:ascii="宋体" w:hAnsi="宋体" w:eastAsia="宋体" w:cs="宋体"/>
          <w:b/>
          <w:color w:val="000000" w:themeColor="text1"/>
          <w:sz w:val="32"/>
          <w:highlight w:val="none"/>
          <w:lang w:val="en-US" w:eastAsia="zh-CN"/>
          <w14:textFill>
            <w14:solidFill>
              <w14:schemeClr w14:val="tx1"/>
            </w14:solidFill>
          </w14:textFill>
        </w:rPr>
      </w:pPr>
    </w:p>
    <w:p w14:paraId="6E270E06">
      <w:pPr>
        <w:snapToGrid w:val="0"/>
        <w:spacing w:line="360" w:lineRule="auto"/>
        <w:jc w:val="both"/>
        <w:rPr>
          <w:rFonts w:hint="eastAsia" w:ascii="宋体" w:hAnsi="宋体" w:eastAsia="宋体" w:cs="宋体"/>
          <w:b/>
          <w:color w:val="000000" w:themeColor="text1"/>
          <w:sz w:val="36"/>
          <w:szCs w:val="36"/>
          <w:highlight w:val="none"/>
          <w14:textFill>
            <w14:solidFill>
              <w14:schemeClr w14:val="tx1"/>
            </w14:solidFill>
          </w14:textFill>
        </w:rPr>
      </w:pPr>
    </w:p>
    <w:p w14:paraId="491C7165">
      <w:pPr>
        <w:pStyle w:val="26"/>
        <w:rPr>
          <w:rFonts w:hint="eastAsia" w:ascii="宋体" w:hAnsi="宋体" w:eastAsia="宋体" w:cs="宋体"/>
          <w:b/>
          <w:color w:val="000000" w:themeColor="text1"/>
          <w:sz w:val="36"/>
          <w:szCs w:val="36"/>
          <w:highlight w:val="none"/>
          <w14:textFill>
            <w14:solidFill>
              <w14:schemeClr w14:val="tx1"/>
            </w14:solidFill>
          </w14:textFill>
        </w:rPr>
      </w:pPr>
    </w:p>
    <w:p w14:paraId="1D1E1699">
      <w:pPr>
        <w:pStyle w:val="27"/>
        <w:rPr>
          <w:rFonts w:hint="eastAsia" w:ascii="宋体" w:hAnsi="宋体" w:eastAsia="宋体" w:cs="宋体"/>
          <w:b/>
          <w:color w:val="000000" w:themeColor="text1"/>
          <w:sz w:val="36"/>
          <w:szCs w:val="36"/>
          <w:highlight w:val="none"/>
          <w14:textFill>
            <w14:solidFill>
              <w14:schemeClr w14:val="tx1"/>
            </w14:solidFill>
          </w14:textFill>
        </w:rPr>
      </w:pPr>
    </w:p>
    <w:p w14:paraId="40210614">
      <w:pPr>
        <w:pStyle w:val="28"/>
        <w:rPr>
          <w:rFonts w:hint="eastAsia" w:ascii="宋体" w:hAnsi="宋体" w:eastAsia="宋体" w:cs="宋体"/>
          <w:b/>
          <w:color w:val="000000" w:themeColor="text1"/>
          <w:sz w:val="36"/>
          <w:szCs w:val="36"/>
          <w:highlight w:val="none"/>
          <w14:textFill>
            <w14:solidFill>
              <w14:schemeClr w14:val="tx1"/>
            </w14:solidFill>
          </w14:textFill>
        </w:rPr>
      </w:pPr>
    </w:p>
    <w:p w14:paraId="220F01BF">
      <w:pPr>
        <w:pStyle w:val="45"/>
        <w:rPr>
          <w:rFonts w:hint="eastAsia" w:ascii="宋体" w:hAnsi="宋体" w:eastAsia="宋体" w:cs="宋体"/>
          <w:b/>
          <w:color w:val="000000" w:themeColor="text1"/>
          <w:sz w:val="36"/>
          <w:szCs w:val="36"/>
          <w:highlight w:val="none"/>
          <w14:textFill>
            <w14:solidFill>
              <w14:schemeClr w14:val="tx1"/>
            </w14:solidFill>
          </w14:textFill>
        </w:rPr>
      </w:pPr>
    </w:p>
    <w:p w14:paraId="0FA44994">
      <w:pPr>
        <w:rPr>
          <w:rFonts w:hint="eastAsia"/>
          <w:color w:val="000000" w:themeColor="text1"/>
          <w:highlight w:val="none"/>
          <w14:textFill>
            <w14:solidFill>
              <w14:schemeClr w14:val="tx1"/>
            </w14:solidFill>
          </w14:textFill>
        </w:rPr>
      </w:pPr>
    </w:p>
    <w:p w14:paraId="61940F71">
      <w:pPr>
        <w:pStyle w:val="2"/>
        <w:rPr>
          <w:rFonts w:hint="eastAsia"/>
          <w:color w:val="000000" w:themeColor="text1"/>
          <w:highlight w:val="none"/>
          <w14:textFill>
            <w14:solidFill>
              <w14:schemeClr w14:val="tx1"/>
            </w14:solidFill>
          </w14:textFill>
        </w:rPr>
      </w:pPr>
    </w:p>
    <w:p w14:paraId="779F4FB2">
      <w:pPr>
        <w:rPr>
          <w:rFonts w:hint="eastAsia"/>
          <w:color w:val="000000" w:themeColor="text1"/>
          <w:highlight w:val="none"/>
          <w14:textFill>
            <w14:solidFill>
              <w14:schemeClr w14:val="tx1"/>
            </w14:solidFill>
          </w14:textFill>
        </w:rPr>
      </w:pPr>
    </w:p>
    <w:p w14:paraId="0AC82493">
      <w:pPr>
        <w:pStyle w:val="2"/>
        <w:ind w:left="0" w:leftChars="0" w:firstLine="0" w:firstLineChars="0"/>
        <w:rPr>
          <w:rFonts w:hint="eastAsia"/>
          <w:color w:val="000000" w:themeColor="text1"/>
          <w:highlight w:val="none"/>
          <w14:textFill>
            <w14:solidFill>
              <w14:schemeClr w14:val="tx1"/>
            </w14:solidFill>
          </w14:textFill>
        </w:rPr>
      </w:pPr>
    </w:p>
    <w:p w14:paraId="5AD1C8AB">
      <w:pPr>
        <w:rPr>
          <w:rFonts w:hint="eastAsia"/>
          <w:color w:val="000000" w:themeColor="text1"/>
          <w:highlight w:val="none"/>
          <w14:textFill>
            <w14:solidFill>
              <w14:schemeClr w14:val="tx1"/>
            </w14:solidFill>
          </w14:textFill>
        </w:rPr>
      </w:pPr>
    </w:p>
    <w:p w14:paraId="0BDD17B2">
      <w:pPr>
        <w:keepNext w:val="0"/>
        <w:keepLines w:val="0"/>
        <w:pageBreakBefore w:val="0"/>
        <w:widowControl w:val="0"/>
        <w:kinsoku/>
        <w:wordWrap/>
        <w:overflowPunct/>
        <w:topLinePunct w:val="0"/>
        <w:autoSpaceDE/>
        <w:autoSpaceDN/>
        <w:bidi w:val="0"/>
        <w:adjustRightInd/>
        <w:snapToGrid/>
        <w:spacing w:before="313" w:beforeLines="100" w:line="360" w:lineRule="auto"/>
        <w:jc w:val="both"/>
        <w:textAlignment w:val="auto"/>
        <w:rPr>
          <w:rFonts w:hint="eastAsia" w:ascii="宋体" w:hAnsi="宋体" w:cs="宋体"/>
          <w:b/>
          <w:color w:val="000000" w:themeColor="text1"/>
          <w:sz w:val="32"/>
          <w:szCs w:val="32"/>
          <w:highlight w:val="none"/>
          <w:lang w:val="en-US" w:eastAsia="zh-CN"/>
          <w14:textFill>
            <w14:solidFill>
              <w14:schemeClr w14:val="tx1"/>
            </w14:solidFill>
          </w14:textFill>
        </w:rPr>
      </w:pPr>
    </w:p>
    <w:p w14:paraId="5AEEF810">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附件：</w:t>
      </w:r>
      <w:r>
        <w:rPr>
          <w:rFonts w:hint="eastAsia" w:ascii="宋体" w:hAnsi="宋体" w:eastAsia="宋体" w:cs="宋体"/>
          <w:b/>
          <w:color w:val="000000" w:themeColor="text1"/>
          <w:sz w:val="32"/>
          <w:szCs w:val="32"/>
          <w:highlight w:val="none"/>
          <w14:textFill>
            <w14:solidFill>
              <w14:schemeClr w14:val="tx1"/>
            </w14:solidFill>
          </w14:textFill>
        </w:rPr>
        <w:t>桐庐县青少年宫</w:t>
      </w:r>
      <w:r>
        <w:rPr>
          <w:rFonts w:hint="eastAsia" w:ascii="宋体" w:hAnsi="宋体" w:cs="宋体"/>
          <w:b/>
          <w:color w:val="000000" w:themeColor="text1"/>
          <w:sz w:val="32"/>
          <w:szCs w:val="32"/>
          <w:highlight w:val="none"/>
          <w:lang w:eastAsia="zh-CN"/>
          <w14:textFill>
            <w14:solidFill>
              <w14:schemeClr w14:val="tx1"/>
            </w14:solidFill>
          </w14:textFill>
        </w:rPr>
        <w:t>消防维保工作</w:t>
      </w:r>
      <w:r>
        <w:rPr>
          <w:rFonts w:hint="eastAsia" w:ascii="宋体" w:hAnsi="宋体" w:eastAsia="宋体" w:cs="宋体"/>
          <w:b/>
          <w:color w:val="000000" w:themeColor="text1"/>
          <w:sz w:val="32"/>
          <w:szCs w:val="32"/>
          <w:highlight w:val="none"/>
          <w14:textFill>
            <w14:solidFill>
              <w14:schemeClr w14:val="tx1"/>
            </w14:solidFill>
          </w14:textFill>
        </w:rPr>
        <w:t>考核标准</w:t>
      </w:r>
    </w:p>
    <w:tbl>
      <w:tblPr>
        <w:tblStyle w:val="62"/>
        <w:tblW w:w="541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50"/>
        <w:gridCol w:w="5344"/>
        <w:gridCol w:w="519"/>
        <w:gridCol w:w="995"/>
        <w:gridCol w:w="1029"/>
        <w:gridCol w:w="1027"/>
        <w:gridCol w:w="585"/>
      </w:tblGrid>
      <w:tr w14:paraId="3B1AB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jc w:val="center"/>
        </w:trPr>
        <w:tc>
          <w:tcPr>
            <w:tcW w:w="274" w:type="pct"/>
            <w:vMerge w:val="restart"/>
            <w:tcBorders>
              <w:right w:val="single" w:color="auto" w:sz="4" w:space="0"/>
            </w:tcBorders>
            <w:noWrap w:val="0"/>
            <w:tcMar>
              <w:left w:w="105" w:type="dxa"/>
              <w:right w:w="105" w:type="dxa"/>
            </w:tcMar>
            <w:vAlign w:val="center"/>
          </w:tcPr>
          <w:p w14:paraId="4B0F8024">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cs="宋体"/>
                <w:b/>
                <w:color w:val="000000" w:themeColor="text1"/>
                <w:sz w:val="21"/>
                <w:szCs w:val="21"/>
                <w:highlight w:val="none"/>
                <w:lang w:eastAsia="zh-CN"/>
                <w14:textFill>
                  <w14:solidFill>
                    <w14:schemeClr w14:val="tx1"/>
                  </w14:solidFill>
                </w14:textFill>
              </w:rPr>
              <w:t>序号</w:t>
            </w:r>
          </w:p>
        </w:tc>
        <w:tc>
          <w:tcPr>
            <w:tcW w:w="2659" w:type="pct"/>
            <w:vMerge w:val="restart"/>
            <w:tcBorders>
              <w:left w:val="single" w:color="auto" w:sz="4" w:space="0"/>
            </w:tcBorders>
            <w:noWrap w:val="0"/>
            <w:tcMar>
              <w:left w:w="105" w:type="dxa"/>
              <w:right w:w="105" w:type="dxa"/>
            </w:tcMar>
            <w:vAlign w:val="center"/>
          </w:tcPr>
          <w:p w14:paraId="4D9BDAE7">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管理考核内容</w:t>
            </w:r>
          </w:p>
        </w:tc>
        <w:tc>
          <w:tcPr>
            <w:tcW w:w="258" w:type="pct"/>
            <w:vMerge w:val="restart"/>
            <w:noWrap w:val="0"/>
            <w:tcMar>
              <w:left w:w="105" w:type="dxa"/>
              <w:right w:w="105" w:type="dxa"/>
            </w:tcMar>
            <w:vAlign w:val="center"/>
          </w:tcPr>
          <w:p w14:paraId="64B52D7A">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分值</w:t>
            </w:r>
          </w:p>
        </w:tc>
        <w:tc>
          <w:tcPr>
            <w:tcW w:w="1518" w:type="pct"/>
            <w:gridSpan w:val="3"/>
            <w:tcBorders>
              <w:bottom w:val="single" w:color="auto" w:sz="4" w:space="0"/>
              <w:right w:val="single" w:color="auto" w:sz="4" w:space="0"/>
            </w:tcBorders>
            <w:noWrap w:val="0"/>
            <w:tcMar>
              <w:left w:w="105" w:type="dxa"/>
              <w:right w:w="105" w:type="dxa"/>
            </w:tcMar>
            <w:vAlign w:val="center"/>
          </w:tcPr>
          <w:p w14:paraId="1792FCF5">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评分</w:t>
            </w:r>
          </w:p>
        </w:tc>
        <w:tc>
          <w:tcPr>
            <w:tcW w:w="288" w:type="pct"/>
            <w:vMerge w:val="restart"/>
            <w:tcBorders>
              <w:left w:val="single" w:color="auto" w:sz="4" w:space="0"/>
            </w:tcBorders>
            <w:noWrap w:val="0"/>
            <w:tcMar>
              <w:left w:w="105" w:type="dxa"/>
              <w:right w:w="105" w:type="dxa"/>
            </w:tcMar>
            <w:vAlign w:val="center"/>
          </w:tcPr>
          <w:p w14:paraId="55F14FE5">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总分</w:t>
            </w:r>
          </w:p>
        </w:tc>
      </w:tr>
      <w:tr w14:paraId="6B6EA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9" w:hRule="atLeast"/>
          <w:jc w:val="center"/>
        </w:trPr>
        <w:tc>
          <w:tcPr>
            <w:tcW w:w="274" w:type="pct"/>
            <w:vMerge w:val="continue"/>
            <w:tcBorders>
              <w:right w:val="single" w:color="auto" w:sz="4" w:space="0"/>
            </w:tcBorders>
            <w:noWrap w:val="0"/>
            <w:tcMar>
              <w:left w:w="105" w:type="dxa"/>
              <w:right w:w="105" w:type="dxa"/>
            </w:tcMar>
            <w:vAlign w:val="center"/>
          </w:tcPr>
          <w:p w14:paraId="5640EE2B">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cs="宋体"/>
                <w:b/>
                <w:color w:val="000000" w:themeColor="text1"/>
                <w:sz w:val="21"/>
                <w:szCs w:val="21"/>
                <w:highlight w:val="none"/>
                <w:lang w:eastAsia="zh-CN"/>
                <w14:textFill>
                  <w14:solidFill>
                    <w14:schemeClr w14:val="tx1"/>
                  </w14:solidFill>
                </w14:textFill>
              </w:rPr>
            </w:pPr>
          </w:p>
        </w:tc>
        <w:tc>
          <w:tcPr>
            <w:tcW w:w="2659" w:type="pct"/>
            <w:vMerge w:val="continue"/>
            <w:tcBorders>
              <w:left w:val="single" w:color="auto" w:sz="4" w:space="0"/>
            </w:tcBorders>
            <w:noWrap w:val="0"/>
            <w:tcMar>
              <w:left w:w="105" w:type="dxa"/>
              <w:right w:w="105" w:type="dxa"/>
            </w:tcMar>
            <w:vAlign w:val="center"/>
          </w:tcPr>
          <w:p w14:paraId="68F545D9">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c>
          <w:tcPr>
            <w:tcW w:w="258" w:type="pct"/>
            <w:vMerge w:val="continue"/>
            <w:noWrap w:val="0"/>
            <w:tcMar>
              <w:left w:w="105" w:type="dxa"/>
              <w:right w:w="105" w:type="dxa"/>
            </w:tcMar>
            <w:vAlign w:val="center"/>
          </w:tcPr>
          <w:p w14:paraId="6A613C12">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c>
          <w:tcPr>
            <w:tcW w:w="495" w:type="pct"/>
            <w:tcBorders>
              <w:top w:val="single" w:color="auto" w:sz="4" w:space="0"/>
              <w:right w:val="single" w:color="auto" w:sz="4" w:space="0"/>
            </w:tcBorders>
            <w:noWrap w:val="0"/>
            <w:tcMar>
              <w:left w:w="105" w:type="dxa"/>
              <w:right w:w="105" w:type="dxa"/>
            </w:tcMar>
            <w:vAlign w:val="center"/>
          </w:tcPr>
          <w:p w14:paraId="66F4981B">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活动部</w:t>
            </w:r>
          </w:p>
        </w:tc>
        <w:tc>
          <w:tcPr>
            <w:tcW w:w="512" w:type="pct"/>
            <w:tcBorders>
              <w:top w:val="single" w:color="auto" w:sz="4" w:space="0"/>
              <w:left w:val="single" w:color="auto" w:sz="4" w:space="0"/>
              <w:right w:val="single" w:color="auto" w:sz="4" w:space="0"/>
            </w:tcBorders>
            <w:noWrap w:val="0"/>
            <w:tcMar>
              <w:left w:w="105" w:type="dxa"/>
              <w:right w:w="105" w:type="dxa"/>
            </w:tcMar>
            <w:vAlign w:val="center"/>
          </w:tcPr>
          <w:p w14:paraId="389F9749">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团队部</w:t>
            </w:r>
          </w:p>
        </w:tc>
        <w:tc>
          <w:tcPr>
            <w:tcW w:w="510" w:type="pct"/>
            <w:tcBorders>
              <w:top w:val="single" w:color="auto" w:sz="4" w:space="0"/>
              <w:left w:val="single" w:color="auto" w:sz="4" w:space="0"/>
              <w:right w:val="single" w:color="auto" w:sz="4" w:space="0"/>
            </w:tcBorders>
            <w:noWrap w:val="0"/>
            <w:tcMar>
              <w:left w:w="105" w:type="dxa"/>
              <w:right w:w="105" w:type="dxa"/>
            </w:tcMar>
            <w:vAlign w:val="center"/>
          </w:tcPr>
          <w:p w14:paraId="220AB03B">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办公室</w:t>
            </w:r>
          </w:p>
        </w:tc>
        <w:tc>
          <w:tcPr>
            <w:tcW w:w="288" w:type="pct"/>
            <w:vMerge w:val="continue"/>
            <w:tcBorders>
              <w:left w:val="single" w:color="auto" w:sz="4" w:space="0"/>
            </w:tcBorders>
            <w:noWrap w:val="0"/>
            <w:tcMar>
              <w:left w:w="105" w:type="dxa"/>
              <w:right w:w="105" w:type="dxa"/>
            </w:tcMar>
            <w:vAlign w:val="center"/>
          </w:tcPr>
          <w:p w14:paraId="6314290D">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r>
      <w:tr w14:paraId="09CA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74" w:type="pct"/>
            <w:tcBorders>
              <w:right w:val="single" w:color="auto" w:sz="4" w:space="0"/>
            </w:tcBorders>
            <w:noWrap w:val="0"/>
            <w:tcMar>
              <w:left w:w="105" w:type="dxa"/>
              <w:right w:w="105" w:type="dxa"/>
            </w:tcMar>
            <w:vAlign w:val="center"/>
          </w:tcPr>
          <w:p w14:paraId="73183161">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p>
        </w:tc>
        <w:tc>
          <w:tcPr>
            <w:tcW w:w="2659" w:type="pct"/>
            <w:tcBorders>
              <w:left w:val="single" w:color="auto" w:sz="4" w:space="0"/>
            </w:tcBorders>
            <w:noWrap w:val="0"/>
            <w:tcMar>
              <w:left w:w="105" w:type="dxa"/>
              <w:right w:w="105" w:type="dxa"/>
            </w:tcMar>
            <w:vAlign w:val="center"/>
          </w:tcPr>
          <w:p w14:paraId="05F0877A">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中标单位能根据采购合同履行相关责任义务。</w:t>
            </w:r>
          </w:p>
        </w:tc>
        <w:tc>
          <w:tcPr>
            <w:tcW w:w="258" w:type="pct"/>
            <w:noWrap w:val="0"/>
            <w:tcMar>
              <w:left w:w="105" w:type="dxa"/>
              <w:right w:w="105" w:type="dxa"/>
            </w:tcMar>
            <w:vAlign w:val="center"/>
          </w:tcPr>
          <w:p w14:paraId="1F2832BF">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20</w:t>
            </w:r>
          </w:p>
        </w:tc>
        <w:tc>
          <w:tcPr>
            <w:tcW w:w="495" w:type="pct"/>
            <w:tcBorders>
              <w:right w:val="single" w:color="auto" w:sz="4" w:space="0"/>
            </w:tcBorders>
            <w:noWrap w:val="0"/>
            <w:tcMar>
              <w:left w:w="105" w:type="dxa"/>
              <w:right w:w="105" w:type="dxa"/>
            </w:tcMar>
            <w:vAlign w:val="center"/>
          </w:tcPr>
          <w:p w14:paraId="4238610C">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512" w:type="pct"/>
            <w:tcBorders>
              <w:left w:val="single" w:color="auto" w:sz="4" w:space="0"/>
              <w:right w:val="single" w:color="auto" w:sz="4" w:space="0"/>
            </w:tcBorders>
            <w:noWrap w:val="0"/>
            <w:tcMar>
              <w:left w:w="105" w:type="dxa"/>
              <w:right w:w="105" w:type="dxa"/>
            </w:tcMar>
            <w:vAlign w:val="center"/>
          </w:tcPr>
          <w:p w14:paraId="6A8B6610">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510" w:type="pct"/>
            <w:tcBorders>
              <w:left w:val="single" w:color="auto" w:sz="4" w:space="0"/>
              <w:right w:val="single" w:color="auto" w:sz="4" w:space="0"/>
            </w:tcBorders>
            <w:noWrap w:val="0"/>
            <w:tcMar>
              <w:left w:w="105" w:type="dxa"/>
              <w:right w:w="105" w:type="dxa"/>
            </w:tcMar>
            <w:vAlign w:val="center"/>
          </w:tcPr>
          <w:p w14:paraId="4D32696F">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288" w:type="pct"/>
            <w:tcBorders>
              <w:left w:val="single" w:color="auto" w:sz="4" w:space="0"/>
            </w:tcBorders>
            <w:noWrap w:val="0"/>
            <w:tcMar>
              <w:left w:w="105" w:type="dxa"/>
              <w:right w:w="105" w:type="dxa"/>
            </w:tcMar>
            <w:vAlign w:val="center"/>
          </w:tcPr>
          <w:p w14:paraId="5B2C6A1F">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3D2AA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74" w:type="pct"/>
            <w:tcBorders>
              <w:right w:val="single" w:color="auto" w:sz="4" w:space="0"/>
            </w:tcBorders>
            <w:noWrap w:val="0"/>
            <w:tcMar>
              <w:left w:w="105" w:type="dxa"/>
              <w:right w:w="105" w:type="dxa"/>
            </w:tcMar>
            <w:vAlign w:val="center"/>
          </w:tcPr>
          <w:p w14:paraId="362BCA02">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8"/>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p>
        </w:tc>
        <w:tc>
          <w:tcPr>
            <w:tcW w:w="2659" w:type="pct"/>
            <w:tcBorders>
              <w:left w:val="single" w:color="auto" w:sz="4" w:space="0"/>
            </w:tcBorders>
            <w:noWrap w:val="0"/>
            <w:tcMar>
              <w:left w:w="105" w:type="dxa"/>
              <w:right w:w="105" w:type="dxa"/>
            </w:tcMar>
            <w:vAlign w:val="center"/>
          </w:tcPr>
          <w:p w14:paraId="13D4F30A">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按消防重点单位，按月完成维保并提供维保单，按年完成消防设施检测并提供消防设施检测报告，报告通过县消防大队审核。</w:t>
            </w:r>
            <w:r>
              <w:rPr>
                <w:rFonts w:hint="eastAsia" w:ascii="宋体" w:hAnsi="宋体" w:eastAsia="宋体" w:cs="宋体"/>
                <w:color w:val="000000" w:themeColor="text1"/>
                <w:spacing w:val="7"/>
                <w:sz w:val="21"/>
                <w:szCs w:val="21"/>
                <w:highlight w:val="none"/>
                <w14:textFill>
                  <w14:solidFill>
                    <w14:schemeClr w14:val="tx1"/>
                  </w14:solidFill>
                </w14:textFill>
              </w:rPr>
              <w:t>确保宫消防安全。消防设备完好能有效使用，杜绝消</w:t>
            </w:r>
            <w:r>
              <w:rPr>
                <w:rFonts w:hint="eastAsia" w:ascii="宋体" w:hAnsi="宋体" w:eastAsia="宋体" w:cs="宋体"/>
                <w:color w:val="000000" w:themeColor="text1"/>
                <w:spacing w:val="7"/>
                <w:sz w:val="21"/>
                <w:szCs w:val="21"/>
                <w:highlight w:val="none"/>
                <w:lang w:eastAsia="zh-CN"/>
                <w14:textFill>
                  <w14:solidFill>
                    <w14:schemeClr w14:val="tx1"/>
                  </w14:solidFill>
                </w14:textFill>
              </w:rPr>
              <w:t>防安全</w:t>
            </w:r>
            <w:r>
              <w:rPr>
                <w:rFonts w:hint="eastAsia" w:ascii="宋体" w:hAnsi="宋体" w:eastAsia="宋体" w:cs="宋体"/>
                <w:color w:val="000000" w:themeColor="text1"/>
                <w:spacing w:val="7"/>
                <w:sz w:val="21"/>
                <w:szCs w:val="21"/>
                <w:highlight w:val="none"/>
                <w14:textFill>
                  <w14:solidFill>
                    <w14:schemeClr w14:val="tx1"/>
                  </w14:solidFill>
                </w14:textFill>
              </w:rPr>
              <w:t>隐患。</w:t>
            </w:r>
          </w:p>
        </w:tc>
        <w:tc>
          <w:tcPr>
            <w:tcW w:w="258" w:type="pct"/>
            <w:noWrap w:val="0"/>
            <w:tcMar>
              <w:left w:w="105" w:type="dxa"/>
              <w:right w:w="105" w:type="dxa"/>
            </w:tcMar>
            <w:vAlign w:val="center"/>
          </w:tcPr>
          <w:p w14:paraId="1AB37C62">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30</w:t>
            </w:r>
          </w:p>
        </w:tc>
        <w:tc>
          <w:tcPr>
            <w:tcW w:w="495" w:type="pct"/>
            <w:tcBorders>
              <w:right w:val="single" w:color="auto" w:sz="4" w:space="0"/>
            </w:tcBorders>
            <w:noWrap w:val="0"/>
            <w:tcMar>
              <w:left w:w="105" w:type="dxa"/>
              <w:right w:w="105" w:type="dxa"/>
            </w:tcMar>
            <w:vAlign w:val="center"/>
          </w:tcPr>
          <w:p w14:paraId="5346C16E">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000000" w:themeColor="text1"/>
                <w:spacing w:val="7"/>
                <w:kern w:val="0"/>
                <w:sz w:val="21"/>
                <w:szCs w:val="21"/>
                <w:highlight w:val="none"/>
                <w:lang w:val="en-US" w:eastAsia="zh-CN" w:bidi="ar-SA"/>
                <w14:textFill>
                  <w14:solidFill>
                    <w14:schemeClr w14:val="tx1"/>
                  </w14:solidFill>
                </w14:textFill>
              </w:rPr>
            </w:pPr>
          </w:p>
        </w:tc>
        <w:tc>
          <w:tcPr>
            <w:tcW w:w="512" w:type="pct"/>
            <w:tcBorders>
              <w:left w:val="single" w:color="auto" w:sz="4" w:space="0"/>
              <w:right w:val="single" w:color="auto" w:sz="4" w:space="0"/>
            </w:tcBorders>
            <w:noWrap w:val="0"/>
            <w:tcMar>
              <w:left w:w="105" w:type="dxa"/>
              <w:right w:w="105" w:type="dxa"/>
            </w:tcMar>
            <w:vAlign w:val="center"/>
          </w:tcPr>
          <w:p w14:paraId="07B022F3">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510" w:type="pct"/>
            <w:tcBorders>
              <w:left w:val="single" w:color="auto" w:sz="4" w:space="0"/>
              <w:right w:val="single" w:color="auto" w:sz="4" w:space="0"/>
            </w:tcBorders>
            <w:noWrap w:val="0"/>
            <w:tcMar>
              <w:left w:w="105" w:type="dxa"/>
              <w:right w:w="105" w:type="dxa"/>
            </w:tcMar>
            <w:vAlign w:val="center"/>
          </w:tcPr>
          <w:p w14:paraId="49D3CF1A">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288" w:type="pct"/>
            <w:tcBorders>
              <w:left w:val="single" w:color="auto" w:sz="4" w:space="0"/>
            </w:tcBorders>
            <w:noWrap w:val="0"/>
            <w:tcMar>
              <w:left w:w="105" w:type="dxa"/>
              <w:right w:w="105" w:type="dxa"/>
            </w:tcMar>
            <w:vAlign w:val="center"/>
          </w:tcPr>
          <w:p w14:paraId="6B664599">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12CA3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2" w:hRule="atLeast"/>
          <w:jc w:val="center"/>
        </w:trPr>
        <w:tc>
          <w:tcPr>
            <w:tcW w:w="274" w:type="pct"/>
            <w:tcBorders>
              <w:right w:val="single" w:color="auto" w:sz="4" w:space="0"/>
            </w:tcBorders>
            <w:noWrap w:val="0"/>
            <w:tcMar>
              <w:left w:w="105" w:type="dxa"/>
              <w:right w:w="105" w:type="dxa"/>
            </w:tcMar>
            <w:vAlign w:val="center"/>
          </w:tcPr>
          <w:p w14:paraId="56F13775">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3</w:t>
            </w:r>
          </w:p>
        </w:tc>
        <w:tc>
          <w:tcPr>
            <w:tcW w:w="2659" w:type="pct"/>
            <w:tcBorders>
              <w:left w:val="single" w:color="auto" w:sz="4" w:space="0"/>
            </w:tcBorders>
            <w:noWrap w:val="0"/>
            <w:tcMar>
              <w:left w:w="105" w:type="dxa"/>
              <w:right w:w="105" w:type="dxa"/>
            </w:tcMar>
            <w:vAlign w:val="center"/>
          </w:tcPr>
          <w:p w14:paraId="36208E96">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维保人员仪表端庄，工作认真负责，能主动解说维保结果、解决措施等相关事宜。</w:t>
            </w:r>
          </w:p>
        </w:tc>
        <w:tc>
          <w:tcPr>
            <w:tcW w:w="258" w:type="pct"/>
            <w:noWrap w:val="0"/>
            <w:tcMar>
              <w:left w:w="105" w:type="dxa"/>
              <w:right w:w="105" w:type="dxa"/>
            </w:tcMar>
            <w:vAlign w:val="center"/>
          </w:tcPr>
          <w:p w14:paraId="0CF729DC">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10</w:t>
            </w:r>
          </w:p>
        </w:tc>
        <w:tc>
          <w:tcPr>
            <w:tcW w:w="495" w:type="pct"/>
            <w:tcBorders>
              <w:right w:val="single" w:color="auto" w:sz="4" w:space="0"/>
            </w:tcBorders>
            <w:noWrap w:val="0"/>
            <w:tcMar>
              <w:left w:w="105" w:type="dxa"/>
              <w:right w:w="105" w:type="dxa"/>
            </w:tcMar>
            <w:vAlign w:val="center"/>
          </w:tcPr>
          <w:p w14:paraId="3D5B8590">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512" w:type="pct"/>
            <w:tcBorders>
              <w:left w:val="single" w:color="auto" w:sz="4" w:space="0"/>
              <w:right w:val="single" w:color="auto" w:sz="4" w:space="0"/>
            </w:tcBorders>
            <w:noWrap w:val="0"/>
            <w:tcMar>
              <w:left w:w="105" w:type="dxa"/>
              <w:right w:w="105" w:type="dxa"/>
            </w:tcMar>
            <w:vAlign w:val="center"/>
          </w:tcPr>
          <w:p w14:paraId="7B389445">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510" w:type="pct"/>
            <w:tcBorders>
              <w:left w:val="single" w:color="auto" w:sz="4" w:space="0"/>
              <w:right w:val="single" w:color="auto" w:sz="4" w:space="0"/>
            </w:tcBorders>
            <w:noWrap w:val="0"/>
            <w:tcMar>
              <w:left w:w="105" w:type="dxa"/>
              <w:right w:w="105" w:type="dxa"/>
            </w:tcMar>
            <w:vAlign w:val="center"/>
          </w:tcPr>
          <w:p w14:paraId="160C38E4">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288" w:type="pct"/>
            <w:tcBorders>
              <w:left w:val="single" w:color="auto" w:sz="4" w:space="0"/>
            </w:tcBorders>
            <w:noWrap w:val="0"/>
            <w:tcMar>
              <w:left w:w="105" w:type="dxa"/>
              <w:right w:w="105" w:type="dxa"/>
            </w:tcMar>
            <w:vAlign w:val="center"/>
          </w:tcPr>
          <w:p w14:paraId="6C81DC48">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r>
      <w:tr w14:paraId="1E94E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74" w:type="pct"/>
            <w:tcBorders>
              <w:right w:val="single" w:color="auto" w:sz="4" w:space="0"/>
            </w:tcBorders>
            <w:noWrap w:val="0"/>
            <w:tcMar>
              <w:left w:w="105" w:type="dxa"/>
              <w:right w:w="105" w:type="dxa"/>
            </w:tcMar>
            <w:vAlign w:val="center"/>
          </w:tcPr>
          <w:p w14:paraId="32D191DE">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4</w:t>
            </w:r>
          </w:p>
        </w:tc>
        <w:tc>
          <w:tcPr>
            <w:tcW w:w="2659" w:type="pct"/>
            <w:tcBorders>
              <w:left w:val="single" w:color="auto" w:sz="4" w:space="0"/>
            </w:tcBorders>
            <w:noWrap w:val="0"/>
            <w:tcMar>
              <w:left w:w="105" w:type="dxa"/>
              <w:right w:w="105" w:type="dxa"/>
            </w:tcMar>
            <w:vAlign w:val="center"/>
          </w:tcPr>
          <w:p w14:paraId="32E1D0D0">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维保过程不得影响青少年宫的校外活动、培训及康乐游艺活动的正常开展，并做好安全预案，确保个人及他人的安全。</w:t>
            </w:r>
          </w:p>
        </w:tc>
        <w:tc>
          <w:tcPr>
            <w:tcW w:w="258" w:type="pct"/>
            <w:noWrap w:val="0"/>
            <w:tcMar>
              <w:left w:w="105" w:type="dxa"/>
              <w:right w:w="105" w:type="dxa"/>
            </w:tcMar>
            <w:vAlign w:val="center"/>
          </w:tcPr>
          <w:p w14:paraId="542F7D6D">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20</w:t>
            </w:r>
          </w:p>
        </w:tc>
        <w:tc>
          <w:tcPr>
            <w:tcW w:w="495" w:type="pct"/>
            <w:tcBorders>
              <w:right w:val="single" w:color="auto" w:sz="4" w:space="0"/>
            </w:tcBorders>
            <w:noWrap w:val="0"/>
            <w:tcMar>
              <w:left w:w="105" w:type="dxa"/>
              <w:right w:w="105" w:type="dxa"/>
            </w:tcMar>
            <w:vAlign w:val="center"/>
          </w:tcPr>
          <w:p w14:paraId="2741925D">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512" w:type="pct"/>
            <w:tcBorders>
              <w:left w:val="single" w:color="auto" w:sz="4" w:space="0"/>
              <w:right w:val="single" w:color="auto" w:sz="4" w:space="0"/>
            </w:tcBorders>
            <w:noWrap w:val="0"/>
            <w:tcMar>
              <w:left w:w="105" w:type="dxa"/>
              <w:right w:w="105" w:type="dxa"/>
            </w:tcMar>
            <w:vAlign w:val="center"/>
          </w:tcPr>
          <w:p w14:paraId="44E89944">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510" w:type="pct"/>
            <w:tcBorders>
              <w:left w:val="single" w:color="auto" w:sz="4" w:space="0"/>
              <w:right w:val="single" w:color="auto" w:sz="4" w:space="0"/>
            </w:tcBorders>
            <w:noWrap w:val="0"/>
            <w:tcMar>
              <w:left w:w="105" w:type="dxa"/>
              <w:right w:w="105" w:type="dxa"/>
            </w:tcMar>
            <w:vAlign w:val="center"/>
          </w:tcPr>
          <w:p w14:paraId="64933B52">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288" w:type="pct"/>
            <w:tcBorders>
              <w:left w:val="single" w:color="auto" w:sz="4" w:space="0"/>
            </w:tcBorders>
            <w:noWrap w:val="0"/>
            <w:tcMar>
              <w:left w:w="105" w:type="dxa"/>
              <w:right w:w="105" w:type="dxa"/>
            </w:tcMar>
            <w:vAlign w:val="center"/>
          </w:tcPr>
          <w:p w14:paraId="2DED80CB">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r>
      <w:tr w14:paraId="599C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274" w:type="pct"/>
            <w:tcBorders>
              <w:right w:val="single" w:color="auto" w:sz="4" w:space="0"/>
            </w:tcBorders>
            <w:noWrap w:val="0"/>
            <w:tcMar>
              <w:left w:w="105" w:type="dxa"/>
              <w:right w:w="105" w:type="dxa"/>
            </w:tcMar>
            <w:vAlign w:val="center"/>
          </w:tcPr>
          <w:p w14:paraId="210A18DC">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5</w:t>
            </w:r>
          </w:p>
        </w:tc>
        <w:tc>
          <w:tcPr>
            <w:tcW w:w="2659" w:type="pct"/>
            <w:tcBorders>
              <w:left w:val="single" w:color="auto" w:sz="4" w:space="0"/>
            </w:tcBorders>
            <w:noWrap w:val="0"/>
            <w:tcMar>
              <w:left w:w="105" w:type="dxa"/>
              <w:right w:w="105" w:type="dxa"/>
            </w:tcMar>
            <w:vAlign w:val="center"/>
          </w:tcPr>
          <w:p w14:paraId="1D00D07E">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若需维修，提供经济有效的维修方案，申报经费不得高于市场价格。</w:t>
            </w:r>
          </w:p>
        </w:tc>
        <w:tc>
          <w:tcPr>
            <w:tcW w:w="258" w:type="pct"/>
            <w:noWrap w:val="0"/>
            <w:tcMar>
              <w:left w:w="105" w:type="dxa"/>
              <w:right w:w="105" w:type="dxa"/>
            </w:tcMar>
            <w:vAlign w:val="center"/>
          </w:tcPr>
          <w:p w14:paraId="56760BA8">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10</w:t>
            </w:r>
          </w:p>
        </w:tc>
        <w:tc>
          <w:tcPr>
            <w:tcW w:w="495" w:type="pct"/>
            <w:tcBorders>
              <w:right w:val="single" w:color="auto" w:sz="4" w:space="0"/>
            </w:tcBorders>
            <w:noWrap w:val="0"/>
            <w:tcMar>
              <w:left w:w="105" w:type="dxa"/>
              <w:right w:w="105" w:type="dxa"/>
            </w:tcMar>
            <w:vAlign w:val="center"/>
          </w:tcPr>
          <w:p w14:paraId="191E2E0B">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512" w:type="pct"/>
            <w:tcBorders>
              <w:left w:val="single" w:color="auto" w:sz="4" w:space="0"/>
              <w:right w:val="single" w:color="auto" w:sz="4" w:space="0"/>
            </w:tcBorders>
            <w:noWrap w:val="0"/>
            <w:tcMar>
              <w:left w:w="105" w:type="dxa"/>
              <w:right w:w="105" w:type="dxa"/>
            </w:tcMar>
            <w:vAlign w:val="center"/>
          </w:tcPr>
          <w:p w14:paraId="0E132EEA">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510" w:type="pct"/>
            <w:tcBorders>
              <w:left w:val="single" w:color="auto" w:sz="4" w:space="0"/>
              <w:right w:val="single" w:color="auto" w:sz="4" w:space="0"/>
            </w:tcBorders>
            <w:noWrap w:val="0"/>
            <w:tcMar>
              <w:left w:w="105" w:type="dxa"/>
              <w:right w:w="105" w:type="dxa"/>
            </w:tcMar>
            <w:vAlign w:val="center"/>
          </w:tcPr>
          <w:p w14:paraId="349018D0">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288" w:type="pct"/>
            <w:tcBorders>
              <w:left w:val="single" w:color="auto" w:sz="4" w:space="0"/>
            </w:tcBorders>
            <w:noWrap w:val="0"/>
            <w:tcMar>
              <w:left w:w="105" w:type="dxa"/>
              <w:right w:w="105" w:type="dxa"/>
            </w:tcMar>
            <w:vAlign w:val="center"/>
          </w:tcPr>
          <w:p w14:paraId="65C8EF32">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r>
      <w:tr w14:paraId="6697C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274" w:type="pct"/>
            <w:tcBorders>
              <w:right w:val="single" w:color="auto" w:sz="4" w:space="0"/>
            </w:tcBorders>
            <w:noWrap w:val="0"/>
            <w:tcMar>
              <w:left w:w="105" w:type="dxa"/>
              <w:right w:w="105" w:type="dxa"/>
            </w:tcMar>
            <w:vAlign w:val="center"/>
          </w:tcPr>
          <w:p w14:paraId="4DE9E692">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6</w:t>
            </w:r>
          </w:p>
        </w:tc>
        <w:tc>
          <w:tcPr>
            <w:tcW w:w="2659" w:type="pct"/>
            <w:tcBorders>
              <w:left w:val="single" w:color="auto" w:sz="4" w:space="0"/>
            </w:tcBorders>
            <w:noWrap w:val="0"/>
            <w:tcMar>
              <w:left w:w="105" w:type="dxa"/>
              <w:right w:w="105" w:type="dxa"/>
            </w:tcMar>
            <w:vAlign w:val="center"/>
          </w:tcPr>
          <w:p w14:paraId="4483C2FE">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结算时，能及时开具发票并提供加盖公章的广告清单。</w:t>
            </w:r>
          </w:p>
        </w:tc>
        <w:tc>
          <w:tcPr>
            <w:tcW w:w="258" w:type="pct"/>
            <w:noWrap w:val="0"/>
            <w:tcMar>
              <w:left w:w="105" w:type="dxa"/>
              <w:right w:w="105" w:type="dxa"/>
            </w:tcMar>
            <w:vAlign w:val="center"/>
          </w:tcPr>
          <w:p w14:paraId="00C64E3E">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10</w:t>
            </w:r>
          </w:p>
        </w:tc>
        <w:tc>
          <w:tcPr>
            <w:tcW w:w="495" w:type="pct"/>
            <w:tcBorders>
              <w:right w:val="single" w:color="auto" w:sz="4" w:space="0"/>
            </w:tcBorders>
            <w:noWrap w:val="0"/>
            <w:tcMar>
              <w:left w:w="105" w:type="dxa"/>
              <w:right w:w="105" w:type="dxa"/>
            </w:tcMar>
            <w:vAlign w:val="center"/>
          </w:tcPr>
          <w:p w14:paraId="0406A207">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512" w:type="pct"/>
            <w:tcBorders>
              <w:left w:val="single" w:color="auto" w:sz="4" w:space="0"/>
              <w:right w:val="single" w:color="auto" w:sz="4" w:space="0"/>
            </w:tcBorders>
            <w:noWrap w:val="0"/>
            <w:tcMar>
              <w:left w:w="105" w:type="dxa"/>
              <w:right w:w="105" w:type="dxa"/>
            </w:tcMar>
            <w:vAlign w:val="center"/>
          </w:tcPr>
          <w:p w14:paraId="085DEBFC">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510" w:type="pct"/>
            <w:tcBorders>
              <w:left w:val="single" w:color="auto" w:sz="4" w:space="0"/>
              <w:right w:val="single" w:color="auto" w:sz="4" w:space="0"/>
            </w:tcBorders>
            <w:noWrap w:val="0"/>
            <w:tcMar>
              <w:left w:w="105" w:type="dxa"/>
              <w:right w:w="105" w:type="dxa"/>
            </w:tcMar>
            <w:vAlign w:val="center"/>
          </w:tcPr>
          <w:p w14:paraId="118C914F">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c>
          <w:tcPr>
            <w:tcW w:w="288" w:type="pct"/>
            <w:tcBorders>
              <w:left w:val="single" w:color="auto" w:sz="4" w:space="0"/>
            </w:tcBorders>
            <w:noWrap w:val="0"/>
            <w:tcMar>
              <w:left w:w="105" w:type="dxa"/>
              <w:right w:w="105" w:type="dxa"/>
            </w:tcMar>
            <w:vAlign w:val="center"/>
          </w:tcPr>
          <w:p w14:paraId="77DAF5AD">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000000" w:themeColor="text1"/>
                <w:kern w:val="0"/>
                <w:sz w:val="21"/>
                <w:szCs w:val="21"/>
                <w:highlight w:val="none"/>
                <w:lang w:val="en-US" w:eastAsia="zh-CN" w:bidi="ar-SA"/>
                <w14:textFill>
                  <w14:solidFill>
                    <w14:schemeClr w14:val="tx1"/>
                  </w14:solidFill>
                </w14:textFill>
              </w:rPr>
            </w:pPr>
          </w:p>
        </w:tc>
      </w:tr>
      <w:tr w14:paraId="0CDB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047" w:hRule="atLeast"/>
          <w:jc w:val="center"/>
        </w:trPr>
        <w:tc>
          <w:tcPr>
            <w:tcW w:w="5000" w:type="pct"/>
            <w:gridSpan w:val="7"/>
            <w:tcBorders>
              <w:bottom w:val="single" w:color="auto" w:sz="4" w:space="0"/>
            </w:tcBorders>
            <w:noWrap w:val="0"/>
            <w:tcMar>
              <w:left w:w="105" w:type="dxa"/>
              <w:right w:w="105" w:type="dxa"/>
            </w:tcMar>
            <w:vAlign w:val="center"/>
          </w:tcPr>
          <w:p w14:paraId="7AA5614B">
            <w:pPr>
              <w:pStyle w:val="58"/>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说明：考核采用按期（春、暑、秋）考核办法，考核80分（含）以上为合格，80分以下为不合格，考核不合格，青少年宫有权取消合同。</w:t>
            </w:r>
          </w:p>
        </w:tc>
      </w:tr>
      <w:tr w14:paraId="17101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44" w:hRule="atLeast"/>
          <w:jc w:val="center"/>
        </w:trPr>
        <w:tc>
          <w:tcPr>
            <w:tcW w:w="5000" w:type="pct"/>
            <w:gridSpan w:val="7"/>
            <w:tcBorders>
              <w:top w:val="single" w:color="auto" w:sz="4" w:space="0"/>
              <w:bottom w:val="single" w:color="auto" w:sz="4" w:space="0"/>
            </w:tcBorders>
            <w:noWrap w:val="0"/>
            <w:tcMar>
              <w:left w:w="105" w:type="dxa"/>
              <w:right w:w="105" w:type="dxa"/>
            </w:tcMar>
            <w:vAlign w:val="top"/>
          </w:tcPr>
          <w:p w14:paraId="3E90D5E8">
            <w:pPr>
              <w:pStyle w:val="58"/>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pacing w:val="7"/>
                <w:sz w:val="21"/>
                <w:szCs w:val="21"/>
                <w:highlight w:val="none"/>
                <w:lang w:eastAsia="zh-CN"/>
                <w14:textFill>
                  <w14:solidFill>
                    <w14:schemeClr w14:val="tx1"/>
                  </w14:solidFill>
                </w14:textFill>
              </w:rPr>
            </w:pPr>
            <w:r>
              <w:rPr>
                <w:rFonts w:hint="eastAsia" w:cs="宋体"/>
                <w:color w:val="000000" w:themeColor="text1"/>
                <w:spacing w:val="7"/>
                <w:sz w:val="21"/>
                <w:szCs w:val="21"/>
                <w:highlight w:val="none"/>
                <w:lang w:eastAsia="zh-CN"/>
                <w14:textFill>
                  <w14:solidFill>
                    <w14:schemeClr w14:val="tx1"/>
                  </w14:solidFill>
                </w14:textFill>
              </w:rPr>
              <w:t>意见建议：</w:t>
            </w:r>
          </w:p>
        </w:tc>
      </w:tr>
    </w:tbl>
    <w:p w14:paraId="0E9A109F">
      <w:pPr>
        <w:pStyle w:val="2"/>
        <w:rPr>
          <w:rFonts w:hint="eastAsia"/>
          <w:color w:val="000000" w:themeColor="text1"/>
          <w:highlight w:val="none"/>
          <w14:textFill>
            <w14:solidFill>
              <w14:schemeClr w14:val="tx1"/>
            </w14:solidFill>
          </w14:textFill>
        </w:rPr>
      </w:pPr>
    </w:p>
    <w:p w14:paraId="40B4F69F">
      <w:pPr>
        <w:rPr>
          <w:rFonts w:hint="eastAsia"/>
          <w:color w:val="000000" w:themeColor="text1"/>
          <w:highlight w:val="none"/>
          <w14:textFill>
            <w14:solidFill>
              <w14:schemeClr w14:val="tx1"/>
            </w14:solidFill>
          </w14:textFill>
        </w:rPr>
      </w:pPr>
    </w:p>
    <w:p w14:paraId="0124BF66">
      <w:pPr>
        <w:pStyle w:val="28"/>
        <w:rPr>
          <w:rFonts w:hint="eastAsia" w:ascii="宋体" w:hAnsi="宋体" w:eastAsia="宋体" w:cs="宋体"/>
          <w:b/>
          <w:color w:val="000000" w:themeColor="text1"/>
          <w:sz w:val="36"/>
          <w:szCs w:val="36"/>
          <w:highlight w:val="none"/>
          <w14:textFill>
            <w14:solidFill>
              <w14:schemeClr w14:val="tx1"/>
            </w14:solidFill>
          </w14:textFill>
        </w:rPr>
      </w:pPr>
    </w:p>
    <w:p w14:paraId="01D398F2">
      <w:pPr>
        <w:rPr>
          <w:rFonts w:hint="eastAsia" w:ascii="宋体" w:hAnsi="宋体" w:eastAsia="宋体" w:cs="宋体"/>
          <w:b/>
          <w:color w:val="000000" w:themeColor="text1"/>
          <w:sz w:val="36"/>
          <w:szCs w:val="36"/>
          <w:highlight w:val="none"/>
          <w14:textFill>
            <w14:solidFill>
              <w14:schemeClr w14:val="tx1"/>
            </w14:solidFill>
          </w14:textFill>
        </w:rPr>
      </w:pPr>
    </w:p>
    <w:p w14:paraId="7E05E8C0">
      <w:pPr>
        <w:pStyle w:val="26"/>
        <w:rPr>
          <w:rFonts w:hint="eastAsia"/>
          <w:color w:val="000000" w:themeColor="text1"/>
          <w:highlight w:val="none"/>
          <w14:textFill>
            <w14:solidFill>
              <w14:schemeClr w14:val="tx1"/>
            </w14:solidFill>
          </w14:textFill>
        </w:rPr>
      </w:pPr>
    </w:p>
    <w:p w14:paraId="3DAB6396">
      <w:pPr>
        <w:pStyle w:val="27"/>
        <w:rPr>
          <w:rFonts w:hint="eastAsia"/>
          <w:color w:val="000000" w:themeColor="text1"/>
          <w:highlight w:val="none"/>
          <w14:textFill>
            <w14:solidFill>
              <w14:schemeClr w14:val="tx1"/>
            </w14:solidFill>
          </w14:textFill>
        </w:rPr>
      </w:pPr>
    </w:p>
    <w:p w14:paraId="2B51BC9D">
      <w:pPr>
        <w:pStyle w:val="81"/>
        <w:rPr>
          <w:rFonts w:hint="eastAsia"/>
          <w:color w:val="000000" w:themeColor="text1"/>
          <w:highlight w:val="none"/>
          <w14:textFill>
            <w14:solidFill>
              <w14:schemeClr w14:val="tx1"/>
            </w14:solidFill>
          </w14:textFill>
        </w:rPr>
      </w:pPr>
    </w:p>
    <w:p w14:paraId="5B21C289">
      <w:pP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24" w:name="_Toc184314442"/>
      <w:bookmarkEnd w:id="24"/>
      <w:bookmarkStart w:id="25" w:name="_Toc184312121"/>
      <w:bookmarkEnd w:id="25"/>
      <w:bookmarkStart w:id="26" w:name="_Toc184313283"/>
      <w:bookmarkEnd w:id="26"/>
      <w:bookmarkStart w:id="27" w:name="_Toc184310301"/>
      <w:bookmarkEnd w:id="27"/>
      <w:bookmarkStart w:id="28" w:name="_Toc184310289"/>
      <w:bookmarkEnd w:id="28"/>
      <w:bookmarkStart w:id="29" w:name="_Toc184310325"/>
      <w:bookmarkEnd w:id="29"/>
      <w:bookmarkStart w:id="30" w:name="_Toc184313257"/>
      <w:bookmarkEnd w:id="30"/>
      <w:bookmarkStart w:id="31" w:name="_Toc184312112"/>
      <w:bookmarkEnd w:id="31"/>
      <w:bookmarkStart w:id="32" w:name="_Toc184313266"/>
      <w:bookmarkEnd w:id="32"/>
      <w:bookmarkStart w:id="33" w:name="_Toc184310299"/>
      <w:bookmarkEnd w:id="33"/>
      <w:bookmarkStart w:id="34" w:name="_Toc184312128"/>
      <w:bookmarkEnd w:id="34"/>
      <w:bookmarkStart w:id="35" w:name="_Toc184310342"/>
      <w:bookmarkEnd w:id="35"/>
      <w:bookmarkStart w:id="36" w:name="_Toc184312067"/>
      <w:bookmarkEnd w:id="36"/>
      <w:bookmarkStart w:id="37" w:name="_Toc184312074"/>
      <w:bookmarkEnd w:id="37"/>
      <w:bookmarkStart w:id="38" w:name="_Toc184312084"/>
      <w:bookmarkEnd w:id="38"/>
      <w:bookmarkStart w:id="39" w:name="_Toc184308056"/>
      <w:bookmarkEnd w:id="39"/>
      <w:bookmarkStart w:id="40" w:name="_Toc184313259"/>
      <w:bookmarkEnd w:id="40"/>
      <w:bookmarkStart w:id="41" w:name="_Toc184314428"/>
      <w:bookmarkEnd w:id="41"/>
      <w:bookmarkStart w:id="42" w:name="_Toc184308078"/>
      <w:bookmarkEnd w:id="42"/>
      <w:bookmarkStart w:id="43" w:name="_Toc184312069"/>
      <w:bookmarkEnd w:id="43"/>
      <w:bookmarkStart w:id="44" w:name="_Toc184310297"/>
      <w:bookmarkEnd w:id="44"/>
      <w:bookmarkStart w:id="45" w:name="_Toc184308043"/>
      <w:bookmarkEnd w:id="45"/>
      <w:bookmarkStart w:id="46" w:name="_Toc184312081"/>
      <w:bookmarkEnd w:id="46"/>
      <w:bookmarkStart w:id="47" w:name="_Toc184313291"/>
      <w:bookmarkEnd w:id="47"/>
      <w:bookmarkStart w:id="48" w:name="_Toc184312093"/>
      <w:bookmarkEnd w:id="48"/>
      <w:bookmarkStart w:id="49" w:name="_Toc184312107"/>
      <w:bookmarkEnd w:id="49"/>
      <w:bookmarkStart w:id="50" w:name="_Toc184312072"/>
      <w:bookmarkEnd w:id="50"/>
      <w:bookmarkStart w:id="51" w:name="_Toc184314474"/>
      <w:bookmarkEnd w:id="51"/>
      <w:bookmarkStart w:id="52" w:name="_Toc184310295"/>
      <w:bookmarkEnd w:id="52"/>
      <w:bookmarkStart w:id="53" w:name="_Toc184310323"/>
      <w:bookmarkEnd w:id="53"/>
      <w:bookmarkStart w:id="54" w:name="_Toc184313247"/>
      <w:bookmarkEnd w:id="54"/>
      <w:bookmarkStart w:id="55" w:name="_Toc184312117"/>
      <w:bookmarkEnd w:id="55"/>
      <w:bookmarkStart w:id="56" w:name="_Toc184310339"/>
      <w:bookmarkEnd w:id="56"/>
      <w:bookmarkStart w:id="57" w:name="_Toc184310302"/>
      <w:bookmarkEnd w:id="57"/>
      <w:bookmarkStart w:id="58" w:name="_Toc184308090"/>
      <w:bookmarkEnd w:id="58"/>
      <w:bookmarkStart w:id="59" w:name="_Toc184310300"/>
      <w:bookmarkEnd w:id="59"/>
      <w:bookmarkStart w:id="60" w:name="_Toc184314455"/>
      <w:bookmarkEnd w:id="60"/>
      <w:bookmarkStart w:id="61" w:name="_Toc184308040"/>
      <w:bookmarkEnd w:id="61"/>
      <w:bookmarkStart w:id="62" w:name="_Toc184310322"/>
      <w:bookmarkEnd w:id="62"/>
      <w:bookmarkStart w:id="63" w:name="_Toc184308108"/>
      <w:bookmarkEnd w:id="63"/>
      <w:bookmarkStart w:id="64" w:name="_Toc184310284"/>
      <w:bookmarkEnd w:id="64"/>
      <w:bookmarkStart w:id="65" w:name="_Toc184310285"/>
      <w:bookmarkEnd w:id="65"/>
      <w:bookmarkStart w:id="66" w:name="_Toc184308101"/>
      <w:bookmarkEnd w:id="66"/>
      <w:bookmarkStart w:id="67" w:name="_Toc184313273"/>
      <w:bookmarkEnd w:id="67"/>
      <w:bookmarkStart w:id="68" w:name="_Toc184312088"/>
      <w:bookmarkEnd w:id="68"/>
      <w:bookmarkStart w:id="69" w:name="_Toc184313288"/>
      <w:bookmarkEnd w:id="69"/>
      <w:bookmarkStart w:id="70" w:name="_Toc184310278"/>
      <w:bookmarkEnd w:id="70"/>
      <w:bookmarkStart w:id="71" w:name="_Toc184312090"/>
      <w:bookmarkEnd w:id="71"/>
      <w:bookmarkStart w:id="72" w:name="_Toc184312085"/>
      <w:bookmarkEnd w:id="72"/>
      <w:bookmarkStart w:id="73" w:name="_Toc184314481"/>
      <w:bookmarkEnd w:id="73"/>
      <w:bookmarkStart w:id="74" w:name="_Toc184313249"/>
      <w:bookmarkEnd w:id="74"/>
      <w:bookmarkStart w:id="75" w:name="_Toc184313293"/>
      <w:bookmarkEnd w:id="75"/>
      <w:bookmarkStart w:id="76" w:name="_Toc184308051"/>
      <w:bookmarkEnd w:id="76"/>
      <w:bookmarkStart w:id="77" w:name="_Toc184313306"/>
      <w:bookmarkEnd w:id="77"/>
      <w:bookmarkStart w:id="78" w:name="_Toc184312087"/>
      <w:bookmarkEnd w:id="78"/>
      <w:bookmarkStart w:id="79" w:name="_Toc184313278"/>
      <w:bookmarkEnd w:id="79"/>
      <w:bookmarkStart w:id="80" w:name="_Toc184313271"/>
      <w:bookmarkEnd w:id="80"/>
      <w:bookmarkStart w:id="81" w:name="_Toc184314410"/>
      <w:bookmarkEnd w:id="81"/>
      <w:bookmarkStart w:id="82" w:name="_Toc184313296"/>
      <w:bookmarkEnd w:id="82"/>
      <w:bookmarkStart w:id="83" w:name="_Toc184312132"/>
      <w:bookmarkEnd w:id="83"/>
      <w:bookmarkStart w:id="84" w:name="_Toc184308067"/>
      <w:bookmarkEnd w:id="84"/>
      <w:bookmarkStart w:id="85" w:name="_Toc184310279"/>
      <w:bookmarkEnd w:id="85"/>
      <w:bookmarkStart w:id="86" w:name="_Toc184314417"/>
      <w:bookmarkEnd w:id="86"/>
      <w:bookmarkStart w:id="87" w:name="_Toc184314423"/>
      <w:bookmarkEnd w:id="87"/>
      <w:bookmarkStart w:id="88" w:name="_Toc184310310"/>
      <w:bookmarkEnd w:id="88"/>
      <w:bookmarkStart w:id="89" w:name="_Toc184310288"/>
      <w:bookmarkEnd w:id="89"/>
      <w:bookmarkStart w:id="90" w:name="_Toc184312094"/>
      <w:bookmarkEnd w:id="90"/>
      <w:bookmarkStart w:id="91" w:name="_Toc184312091"/>
      <w:bookmarkEnd w:id="91"/>
      <w:bookmarkStart w:id="92" w:name="_Toc184310329"/>
      <w:bookmarkEnd w:id="92"/>
      <w:bookmarkStart w:id="93" w:name="_Toc184310282"/>
      <w:bookmarkEnd w:id="93"/>
      <w:bookmarkStart w:id="94" w:name="_Toc184310312"/>
      <w:bookmarkEnd w:id="94"/>
      <w:bookmarkStart w:id="95" w:name="_Toc184313300"/>
      <w:bookmarkEnd w:id="95"/>
      <w:bookmarkStart w:id="96" w:name="_Toc184313308"/>
      <w:bookmarkEnd w:id="96"/>
      <w:bookmarkStart w:id="97" w:name="_Toc184308080"/>
      <w:bookmarkEnd w:id="97"/>
      <w:bookmarkStart w:id="98" w:name="_Toc184310334"/>
      <w:bookmarkEnd w:id="98"/>
      <w:bookmarkStart w:id="99" w:name="_Toc184312113"/>
      <w:bookmarkEnd w:id="99"/>
      <w:bookmarkStart w:id="100" w:name="_Toc184314459"/>
      <w:bookmarkEnd w:id="100"/>
      <w:bookmarkStart w:id="101" w:name="_Toc184310308"/>
      <w:bookmarkEnd w:id="101"/>
      <w:bookmarkStart w:id="102" w:name="_Toc184308094"/>
      <w:bookmarkEnd w:id="102"/>
      <w:bookmarkStart w:id="103" w:name="_Toc184314419"/>
      <w:bookmarkEnd w:id="103"/>
      <w:bookmarkStart w:id="104" w:name="_Toc184314411"/>
      <w:bookmarkEnd w:id="104"/>
      <w:bookmarkStart w:id="105" w:name="_Toc184314471"/>
      <w:bookmarkEnd w:id="105"/>
      <w:bookmarkStart w:id="106" w:name="_Toc184314412"/>
      <w:bookmarkEnd w:id="106"/>
      <w:bookmarkStart w:id="107" w:name="_Toc184313254"/>
      <w:bookmarkEnd w:id="107"/>
      <w:bookmarkStart w:id="108" w:name="_Toc184314434"/>
      <w:bookmarkEnd w:id="108"/>
      <w:bookmarkStart w:id="109" w:name="_Toc184314445"/>
      <w:bookmarkEnd w:id="109"/>
      <w:bookmarkStart w:id="110" w:name="_Toc184313290"/>
      <w:bookmarkEnd w:id="110"/>
      <w:bookmarkStart w:id="111" w:name="_Toc184310276"/>
      <w:bookmarkEnd w:id="111"/>
      <w:bookmarkStart w:id="112" w:name="_Toc184313263"/>
      <w:bookmarkEnd w:id="112"/>
      <w:bookmarkStart w:id="113" w:name="_Toc184314439"/>
      <w:bookmarkEnd w:id="113"/>
      <w:bookmarkStart w:id="114" w:name="_Toc184314422"/>
      <w:bookmarkEnd w:id="114"/>
      <w:bookmarkStart w:id="115" w:name="_Toc184310341"/>
      <w:bookmarkEnd w:id="115"/>
      <w:bookmarkStart w:id="116" w:name="_Toc184312102"/>
      <w:bookmarkEnd w:id="116"/>
      <w:bookmarkStart w:id="117" w:name="_Toc184313289"/>
      <w:bookmarkEnd w:id="117"/>
      <w:bookmarkStart w:id="118" w:name="_Toc184313265"/>
      <w:bookmarkEnd w:id="118"/>
      <w:bookmarkStart w:id="119" w:name="_Toc184314453"/>
      <w:bookmarkEnd w:id="119"/>
      <w:bookmarkStart w:id="120" w:name="_Toc184313241"/>
      <w:bookmarkEnd w:id="120"/>
      <w:bookmarkStart w:id="121" w:name="_Toc184312098"/>
      <w:bookmarkEnd w:id="121"/>
      <w:bookmarkStart w:id="122" w:name="_Toc184310343"/>
      <w:bookmarkEnd w:id="122"/>
      <w:bookmarkStart w:id="123" w:name="_Toc184313294"/>
      <w:bookmarkEnd w:id="123"/>
      <w:bookmarkStart w:id="124" w:name="_Toc184312134"/>
      <w:bookmarkEnd w:id="124"/>
      <w:bookmarkStart w:id="125" w:name="_Toc184310337"/>
      <w:bookmarkEnd w:id="125"/>
      <w:bookmarkStart w:id="126" w:name="_Toc184314426"/>
      <w:bookmarkEnd w:id="126"/>
      <w:bookmarkStart w:id="127" w:name="_Toc184314425"/>
      <w:bookmarkEnd w:id="127"/>
      <w:bookmarkStart w:id="128" w:name="_Toc184312131"/>
      <w:bookmarkEnd w:id="128"/>
      <w:bookmarkStart w:id="129" w:name="_Toc184310275"/>
      <w:bookmarkEnd w:id="129"/>
      <w:bookmarkStart w:id="130" w:name="_Toc184310332"/>
      <w:bookmarkEnd w:id="130"/>
      <w:bookmarkStart w:id="131" w:name="_Toc184308037"/>
      <w:bookmarkEnd w:id="131"/>
      <w:bookmarkStart w:id="132" w:name="_Toc184314449"/>
      <w:bookmarkEnd w:id="132"/>
      <w:bookmarkStart w:id="133" w:name="_Toc184312109"/>
      <w:bookmarkEnd w:id="133"/>
      <w:bookmarkStart w:id="134" w:name="_Toc184314435"/>
      <w:bookmarkEnd w:id="134"/>
      <w:bookmarkStart w:id="135" w:name="_Toc184310340"/>
      <w:bookmarkEnd w:id="135"/>
      <w:bookmarkStart w:id="136" w:name="_Toc184308076"/>
      <w:bookmarkEnd w:id="136"/>
      <w:bookmarkStart w:id="137" w:name="_Toc184310326"/>
      <w:bookmarkEnd w:id="137"/>
      <w:bookmarkStart w:id="138" w:name="_Toc184308063"/>
      <w:bookmarkEnd w:id="138"/>
      <w:bookmarkStart w:id="139" w:name="_Toc184313253"/>
      <w:bookmarkEnd w:id="139"/>
      <w:bookmarkStart w:id="140" w:name="_Toc184313272"/>
      <w:bookmarkEnd w:id="140"/>
      <w:bookmarkStart w:id="141" w:name="_Toc184310338"/>
      <w:bookmarkEnd w:id="141"/>
      <w:bookmarkStart w:id="142" w:name="_Toc184308100"/>
      <w:bookmarkEnd w:id="142"/>
      <w:bookmarkStart w:id="143" w:name="_Toc184313242"/>
      <w:bookmarkEnd w:id="143"/>
      <w:bookmarkStart w:id="144" w:name="_Toc184314441"/>
      <w:bookmarkEnd w:id="144"/>
      <w:bookmarkStart w:id="145" w:name="_Toc184310304"/>
      <w:bookmarkEnd w:id="145"/>
      <w:bookmarkStart w:id="146" w:name="_Toc184312111"/>
      <w:bookmarkEnd w:id="146"/>
      <w:bookmarkStart w:id="147" w:name="_Toc184313276"/>
      <w:bookmarkEnd w:id="147"/>
      <w:bookmarkStart w:id="148" w:name="_Toc184314454"/>
      <w:bookmarkEnd w:id="148"/>
      <w:bookmarkStart w:id="149" w:name="_Toc184313269"/>
      <w:bookmarkEnd w:id="149"/>
      <w:bookmarkStart w:id="150" w:name="_Toc184310296"/>
      <w:bookmarkEnd w:id="150"/>
      <w:bookmarkStart w:id="151" w:name="_Toc184308095"/>
      <w:bookmarkEnd w:id="151"/>
      <w:bookmarkStart w:id="152" w:name="_Toc184310335"/>
      <w:bookmarkEnd w:id="152"/>
      <w:bookmarkStart w:id="153" w:name="_Toc184314468"/>
      <w:bookmarkEnd w:id="153"/>
      <w:bookmarkStart w:id="154" w:name="_Toc184308066"/>
      <w:bookmarkEnd w:id="154"/>
      <w:bookmarkStart w:id="155" w:name="_Toc184312125"/>
      <w:bookmarkEnd w:id="155"/>
      <w:bookmarkStart w:id="156" w:name="_Toc184314448"/>
      <w:bookmarkEnd w:id="156"/>
      <w:bookmarkStart w:id="157" w:name="_Toc184308065"/>
      <w:bookmarkEnd w:id="157"/>
      <w:bookmarkStart w:id="158" w:name="_Toc184313261"/>
      <w:bookmarkEnd w:id="158"/>
      <w:bookmarkStart w:id="159" w:name="_Toc184308105"/>
      <w:bookmarkEnd w:id="159"/>
      <w:bookmarkStart w:id="160" w:name="_Toc184313277"/>
      <w:bookmarkEnd w:id="160"/>
      <w:bookmarkStart w:id="161" w:name="_Toc184310306"/>
      <w:bookmarkEnd w:id="161"/>
      <w:bookmarkStart w:id="162" w:name="_Toc184312116"/>
      <w:bookmarkEnd w:id="162"/>
      <w:bookmarkStart w:id="163" w:name="_Toc184314478"/>
      <w:bookmarkEnd w:id="163"/>
      <w:bookmarkStart w:id="164" w:name="_Toc184312133"/>
      <w:bookmarkEnd w:id="164"/>
      <w:bookmarkStart w:id="165" w:name="_Toc184312115"/>
      <w:bookmarkEnd w:id="165"/>
      <w:bookmarkStart w:id="166" w:name="_Toc184314470"/>
      <w:bookmarkEnd w:id="166"/>
      <w:bookmarkStart w:id="167" w:name="_Toc184308102"/>
      <w:bookmarkEnd w:id="167"/>
      <w:bookmarkStart w:id="168" w:name="_Toc184310321"/>
      <w:bookmarkEnd w:id="168"/>
      <w:bookmarkStart w:id="169" w:name="_Toc184310286"/>
      <w:bookmarkEnd w:id="169"/>
      <w:bookmarkStart w:id="170" w:name="_Toc184308089"/>
      <w:bookmarkEnd w:id="170"/>
      <w:bookmarkStart w:id="171" w:name="_Toc184313262"/>
      <w:bookmarkEnd w:id="171"/>
      <w:bookmarkStart w:id="172" w:name="_Toc184314472"/>
      <w:bookmarkEnd w:id="172"/>
      <w:bookmarkStart w:id="173" w:name="_Toc184313279"/>
      <w:bookmarkEnd w:id="173"/>
      <w:bookmarkStart w:id="174" w:name="_Toc184308054"/>
      <w:bookmarkEnd w:id="174"/>
      <w:bookmarkStart w:id="175" w:name="_Toc184314476"/>
      <w:bookmarkEnd w:id="175"/>
      <w:bookmarkStart w:id="176" w:name="_Toc184314475"/>
      <w:bookmarkEnd w:id="176"/>
      <w:bookmarkStart w:id="177" w:name="_Toc184313267"/>
      <w:bookmarkEnd w:id="177"/>
      <w:bookmarkStart w:id="178" w:name="_Toc184313268"/>
      <w:bookmarkEnd w:id="178"/>
      <w:bookmarkStart w:id="179" w:name="_Toc184308084"/>
      <w:bookmarkEnd w:id="179"/>
      <w:bookmarkStart w:id="180" w:name="_Toc184312075"/>
      <w:bookmarkEnd w:id="180"/>
      <w:bookmarkStart w:id="181" w:name="_Toc184313275"/>
      <w:bookmarkEnd w:id="181"/>
      <w:bookmarkStart w:id="182" w:name="_Toc184314466"/>
      <w:bookmarkEnd w:id="182"/>
      <w:bookmarkStart w:id="183" w:name="_Toc184314469"/>
      <w:bookmarkEnd w:id="183"/>
      <w:bookmarkStart w:id="184" w:name="_Toc184314450"/>
      <w:bookmarkEnd w:id="184"/>
      <w:bookmarkStart w:id="185" w:name="_Toc184314465"/>
      <w:bookmarkEnd w:id="185"/>
      <w:bookmarkStart w:id="186" w:name="_Toc184308046"/>
      <w:bookmarkEnd w:id="186"/>
      <w:bookmarkStart w:id="187" w:name="_Toc184312114"/>
      <w:bookmarkEnd w:id="187"/>
      <w:bookmarkStart w:id="188" w:name="_Toc184314482"/>
      <w:bookmarkEnd w:id="188"/>
      <w:bookmarkStart w:id="189" w:name="_Toc184314457"/>
      <w:bookmarkEnd w:id="189"/>
      <w:bookmarkStart w:id="190" w:name="_Toc184310318"/>
      <w:bookmarkEnd w:id="190"/>
      <w:bookmarkStart w:id="191" w:name="_Toc184314467"/>
      <w:bookmarkEnd w:id="191"/>
      <w:bookmarkStart w:id="192" w:name="_Toc184310324"/>
      <w:bookmarkEnd w:id="192"/>
      <w:bookmarkStart w:id="193" w:name="_Toc184313305"/>
      <w:bookmarkEnd w:id="193"/>
      <w:bookmarkStart w:id="194" w:name="_Toc184312126"/>
      <w:bookmarkEnd w:id="194"/>
      <w:bookmarkStart w:id="195" w:name="_Toc184308092"/>
      <w:bookmarkEnd w:id="195"/>
      <w:bookmarkStart w:id="196" w:name="_Toc184308103"/>
      <w:bookmarkEnd w:id="196"/>
      <w:bookmarkStart w:id="197" w:name="_Toc184313304"/>
      <w:bookmarkEnd w:id="197"/>
      <w:bookmarkStart w:id="198" w:name="_Toc184313264"/>
      <w:bookmarkEnd w:id="198"/>
      <w:bookmarkStart w:id="199" w:name="_Toc184314416"/>
      <w:bookmarkEnd w:id="199"/>
      <w:bookmarkStart w:id="200" w:name="_Toc184313250"/>
      <w:bookmarkEnd w:id="200"/>
      <w:bookmarkStart w:id="201" w:name="_Toc184310344"/>
      <w:bookmarkEnd w:id="201"/>
      <w:bookmarkStart w:id="202" w:name="_Toc184314424"/>
      <w:bookmarkEnd w:id="202"/>
      <w:bookmarkStart w:id="203" w:name="_Toc184313255"/>
      <w:bookmarkEnd w:id="203"/>
      <w:bookmarkStart w:id="204" w:name="_Toc184314436"/>
      <w:bookmarkEnd w:id="204"/>
      <w:bookmarkStart w:id="205" w:name="_Toc184312123"/>
      <w:bookmarkEnd w:id="205"/>
      <w:bookmarkStart w:id="206" w:name="_Toc184310319"/>
      <w:bookmarkEnd w:id="206"/>
      <w:bookmarkStart w:id="207" w:name="_Toc184313270"/>
      <w:bookmarkEnd w:id="207"/>
      <w:bookmarkStart w:id="208" w:name="_Toc184308048"/>
      <w:bookmarkEnd w:id="208"/>
      <w:bookmarkStart w:id="209" w:name="_Toc184308052"/>
      <w:bookmarkEnd w:id="209"/>
      <w:bookmarkStart w:id="210" w:name="_Toc184313246"/>
      <w:bookmarkEnd w:id="210"/>
      <w:bookmarkStart w:id="211" w:name="_Toc184314437"/>
      <w:bookmarkEnd w:id="211"/>
      <w:bookmarkStart w:id="212" w:name="_Toc184310314"/>
      <w:bookmarkEnd w:id="212"/>
      <w:bookmarkStart w:id="213" w:name="_Toc184308082"/>
      <w:bookmarkEnd w:id="213"/>
      <w:bookmarkStart w:id="214" w:name="_Toc184312130"/>
      <w:bookmarkEnd w:id="214"/>
      <w:bookmarkStart w:id="215" w:name="_Toc184308088"/>
      <w:bookmarkEnd w:id="215"/>
      <w:bookmarkStart w:id="216" w:name="_Toc184308072"/>
      <w:bookmarkEnd w:id="216"/>
      <w:bookmarkStart w:id="217" w:name="_Toc184308070"/>
      <w:bookmarkEnd w:id="217"/>
      <w:bookmarkStart w:id="218" w:name="_Toc184312086"/>
      <w:bookmarkEnd w:id="218"/>
      <w:bookmarkStart w:id="219" w:name="_Toc184310294"/>
      <w:bookmarkEnd w:id="219"/>
      <w:bookmarkStart w:id="220" w:name="_Toc184313248"/>
      <w:bookmarkEnd w:id="220"/>
      <w:bookmarkStart w:id="221" w:name="_Toc184312124"/>
      <w:bookmarkEnd w:id="221"/>
      <w:bookmarkStart w:id="222" w:name="_Toc184312071"/>
      <w:bookmarkEnd w:id="222"/>
      <w:bookmarkStart w:id="223" w:name="_Toc184312105"/>
      <w:bookmarkEnd w:id="223"/>
      <w:bookmarkStart w:id="224" w:name="_Toc184308069"/>
      <w:bookmarkEnd w:id="224"/>
      <w:bookmarkStart w:id="225" w:name="_Toc184308106"/>
      <w:bookmarkEnd w:id="225"/>
      <w:bookmarkStart w:id="226" w:name="_Toc184308097"/>
      <w:bookmarkEnd w:id="226"/>
      <w:bookmarkStart w:id="227" w:name="_Toc184313274"/>
      <w:bookmarkEnd w:id="227"/>
      <w:bookmarkStart w:id="228" w:name="_Toc184312078"/>
      <w:bookmarkEnd w:id="228"/>
      <w:bookmarkStart w:id="229" w:name="_Toc184312076"/>
      <w:bookmarkEnd w:id="229"/>
      <w:bookmarkStart w:id="230" w:name="_Toc184308074"/>
      <w:bookmarkEnd w:id="230"/>
      <w:bookmarkStart w:id="231" w:name="_Toc184310298"/>
      <w:bookmarkEnd w:id="231"/>
      <w:bookmarkStart w:id="232" w:name="_Toc184308091"/>
      <w:bookmarkEnd w:id="232"/>
      <w:bookmarkStart w:id="233" w:name="_Toc184313292"/>
      <w:bookmarkEnd w:id="233"/>
      <w:bookmarkStart w:id="234" w:name="_Toc184310283"/>
      <w:bookmarkEnd w:id="234"/>
      <w:bookmarkStart w:id="235" w:name="_Toc184310331"/>
      <w:bookmarkEnd w:id="235"/>
      <w:bookmarkStart w:id="236" w:name="_Toc184312077"/>
      <w:bookmarkEnd w:id="236"/>
      <w:bookmarkStart w:id="237" w:name="_Toc184314432"/>
      <w:bookmarkEnd w:id="237"/>
      <w:bookmarkStart w:id="238" w:name="_Toc184310290"/>
      <w:bookmarkEnd w:id="238"/>
      <w:bookmarkStart w:id="239" w:name="_Toc184314421"/>
      <w:bookmarkEnd w:id="239"/>
      <w:bookmarkStart w:id="240" w:name="_Toc184310311"/>
      <w:bookmarkEnd w:id="240"/>
      <w:bookmarkStart w:id="241" w:name="_Toc184314480"/>
      <w:bookmarkEnd w:id="241"/>
      <w:bookmarkStart w:id="242" w:name="_Toc184308053"/>
      <w:bookmarkEnd w:id="242"/>
      <w:bookmarkStart w:id="243" w:name="_Toc184308079"/>
      <w:bookmarkEnd w:id="243"/>
      <w:bookmarkStart w:id="244" w:name="_Toc184314479"/>
      <w:bookmarkEnd w:id="244"/>
      <w:bookmarkStart w:id="245" w:name="_Toc184308098"/>
      <w:bookmarkEnd w:id="245"/>
      <w:bookmarkStart w:id="246" w:name="_Toc184314443"/>
      <w:bookmarkEnd w:id="246"/>
      <w:bookmarkStart w:id="247" w:name="_Toc184310313"/>
      <w:bookmarkEnd w:id="247"/>
      <w:bookmarkStart w:id="248" w:name="_Toc184308099"/>
      <w:bookmarkEnd w:id="248"/>
      <w:bookmarkStart w:id="249" w:name="_Toc184308057"/>
      <w:bookmarkEnd w:id="249"/>
      <w:bookmarkStart w:id="250" w:name="_Toc184314463"/>
      <w:bookmarkEnd w:id="250"/>
      <w:bookmarkStart w:id="251" w:name="_Toc184312096"/>
      <w:bookmarkEnd w:id="251"/>
      <w:bookmarkStart w:id="252" w:name="_Toc184308061"/>
      <w:bookmarkEnd w:id="252"/>
      <w:bookmarkStart w:id="253" w:name="_Toc184313284"/>
      <w:bookmarkEnd w:id="253"/>
      <w:bookmarkStart w:id="254" w:name="_Toc184308087"/>
      <w:bookmarkEnd w:id="254"/>
      <w:bookmarkStart w:id="255" w:name="_Toc184314473"/>
      <w:bookmarkEnd w:id="255"/>
      <w:bookmarkStart w:id="256" w:name="_Toc184308047"/>
      <w:bookmarkEnd w:id="256"/>
      <w:bookmarkStart w:id="257" w:name="_Toc184314440"/>
      <w:bookmarkEnd w:id="257"/>
      <w:bookmarkStart w:id="258" w:name="_Toc184308059"/>
      <w:bookmarkEnd w:id="258"/>
      <w:bookmarkStart w:id="259" w:name="_Toc184313307"/>
      <w:bookmarkEnd w:id="259"/>
      <w:bookmarkStart w:id="260" w:name="_Toc184312120"/>
      <w:bookmarkEnd w:id="260"/>
      <w:bookmarkStart w:id="261" w:name="_Toc184314460"/>
      <w:bookmarkEnd w:id="261"/>
      <w:bookmarkStart w:id="262" w:name="_Toc184314431"/>
      <w:bookmarkEnd w:id="262"/>
      <w:bookmarkStart w:id="263" w:name="_Toc184312118"/>
      <w:bookmarkEnd w:id="263"/>
      <w:bookmarkStart w:id="264" w:name="_Toc184308081"/>
      <w:bookmarkEnd w:id="264"/>
      <w:bookmarkStart w:id="265" w:name="_Toc184310328"/>
      <w:bookmarkEnd w:id="265"/>
      <w:bookmarkStart w:id="266" w:name="_Toc184313302"/>
      <w:bookmarkEnd w:id="266"/>
      <w:bookmarkStart w:id="267" w:name="_Toc184308083"/>
      <w:bookmarkEnd w:id="267"/>
      <w:bookmarkStart w:id="268" w:name="_Toc184314429"/>
      <w:bookmarkEnd w:id="268"/>
      <w:bookmarkStart w:id="269" w:name="_Toc184310305"/>
      <w:bookmarkEnd w:id="269"/>
      <w:bookmarkStart w:id="270" w:name="_Toc184313286"/>
      <w:bookmarkEnd w:id="270"/>
      <w:bookmarkStart w:id="271" w:name="_Toc184308055"/>
      <w:bookmarkEnd w:id="271"/>
      <w:bookmarkStart w:id="272" w:name="_Toc184312106"/>
      <w:bookmarkEnd w:id="272"/>
      <w:bookmarkStart w:id="273" w:name="_Toc184312073"/>
      <w:bookmarkEnd w:id="273"/>
      <w:bookmarkStart w:id="274" w:name="_Toc184308096"/>
      <w:bookmarkEnd w:id="274"/>
      <w:bookmarkStart w:id="275" w:name="_Toc184312095"/>
      <w:bookmarkEnd w:id="275"/>
      <w:bookmarkStart w:id="276" w:name="_Toc184310317"/>
      <w:bookmarkEnd w:id="276"/>
      <w:bookmarkStart w:id="277" w:name="_Toc184308058"/>
      <w:bookmarkEnd w:id="277"/>
      <w:bookmarkStart w:id="278" w:name="_Toc184313252"/>
      <w:bookmarkEnd w:id="278"/>
      <w:bookmarkStart w:id="279" w:name="_Toc184314414"/>
      <w:bookmarkEnd w:id="279"/>
      <w:bookmarkStart w:id="280" w:name="_Toc184308086"/>
      <w:bookmarkEnd w:id="280"/>
      <w:bookmarkStart w:id="281" w:name="_Toc184308104"/>
      <w:bookmarkEnd w:id="281"/>
      <w:bookmarkStart w:id="282" w:name="_Toc184312082"/>
      <w:bookmarkEnd w:id="282"/>
      <w:bookmarkStart w:id="283" w:name="_Toc184308093"/>
      <w:bookmarkEnd w:id="283"/>
      <w:bookmarkStart w:id="284" w:name="_Toc184308064"/>
      <w:bookmarkEnd w:id="284"/>
      <w:bookmarkStart w:id="285" w:name="_Toc184313256"/>
      <w:bookmarkEnd w:id="285"/>
      <w:bookmarkStart w:id="286" w:name="_Toc184313301"/>
      <w:bookmarkEnd w:id="286"/>
      <w:bookmarkStart w:id="287" w:name="_Toc184308045"/>
      <w:bookmarkEnd w:id="287"/>
      <w:bookmarkStart w:id="288" w:name="_Toc184314451"/>
      <w:bookmarkEnd w:id="288"/>
      <w:bookmarkStart w:id="289" w:name="_Toc184314462"/>
      <w:bookmarkEnd w:id="289"/>
      <w:bookmarkStart w:id="290" w:name="_Toc184308044"/>
      <w:bookmarkEnd w:id="290"/>
      <w:bookmarkStart w:id="291" w:name="_Toc184312104"/>
      <w:bookmarkEnd w:id="291"/>
      <w:bookmarkStart w:id="292" w:name="_Toc184308073"/>
      <w:bookmarkEnd w:id="292"/>
      <w:bookmarkStart w:id="293" w:name="_Toc184308085"/>
      <w:bookmarkEnd w:id="293"/>
      <w:bookmarkStart w:id="294" w:name="_Toc184314446"/>
      <w:bookmarkEnd w:id="294"/>
      <w:bookmarkStart w:id="295" w:name="_Toc184310287"/>
      <w:bookmarkEnd w:id="295"/>
      <w:bookmarkStart w:id="296" w:name="_Toc184310333"/>
      <w:bookmarkEnd w:id="296"/>
      <w:bookmarkStart w:id="297" w:name="_Toc184308062"/>
      <w:bookmarkEnd w:id="297"/>
      <w:bookmarkStart w:id="298" w:name="_Toc184312139"/>
      <w:bookmarkEnd w:id="298"/>
      <w:bookmarkStart w:id="299" w:name="_Toc184313295"/>
      <w:bookmarkEnd w:id="299"/>
      <w:bookmarkStart w:id="300" w:name="_Toc184312100"/>
      <w:bookmarkEnd w:id="300"/>
      <w:bookmarkStart w:id="301" w:name="_Toc184312135"/>
      <w:bookmarkEnd w:id="301"/>
      <w:bookmarkStart w:id="302" w:name="_Toc184314477"/>
      <w:bookmarkEnd w:id="302"/>
      <w:bookmarkStart w:id="303" w:name="_Toc184308036"/>
      <w:bookmarkEnd w:id="303"/>
      <w:bookmarkStart w:id="304" w:name="_Toc184312079"/>
      <w:bookmarkEnd w:id="304"/>
      <w:bookmarkStart w:id="305" w:name="_Toc184310277"/>
      <w:bookmarkEnd w:id="305"/>
      <w:bookmarkStart w:id="306" w:name="_Toc184313280"/>
      <w:bookmarkEnd w:id="306"/>
      <w:bookmarkStart w:id="307" w:name="_Toc184313238"/>
      <w:bookmarkEnd w:id="307"/>
      <w:bookmarkStart w:id="308" w:name="_Toc184313245"/>
      <w:bookmarkEnd w:id="308"/>
      <w:bookmarkStart w:id="309" w:name="_Toc184314438"/>
      <w:bookmarkEnd w:id="309"/>
      <w:bookmarkStart w:id="310" w:name="_Toc184308068"/>
      <w:bookmarkEnd w:id="310"/>
      <w:bookmarkStart w:id="311" w:name="_Toc184310281"/>
      <w:bookmarkEnd w:id="311"/>
      <w:bookmarkStart w:id="312" w:name="_Toc184310291"/>
      <w:bookmarkEnd w:id="312"/>
      <w:bookmarkStart w:id="313" w:name="_Toc184314452"/>
      <w:bookmarkEnd w:id="313"/>
      <w:bookmarkStart w:id="314" w:name="_Toc184314461"/>
      <w:bookmarkEnd w:id="314"/>
      <w:bookmarkStart w:id="315" w:name="_Toc184314427"/>
      <w:bookmarkEnd w:id="315"/>
      <w:bookmarkStart w:id="316" w:name="_Toc184310336"/>
      <w:bookmarkEnd w:id="316"/>
      <w:bookmarkStart w:id="317" w:name="_Toc184308039"/>
      <w:bookmarkEnd w:id="317"/>
      <w:bookmarkStart w:id="318" w:name="_Toc184312110"/>
      <w:bookmarkEnd w:id="318"/>
      <w:bookmarkStart w:id="319" w:name="_Toc184310320"/>
      <w:bookmarkEnd w:id="319"/>
      <w:bookmarkStart w:id="320" w:name="_Toc184310292"/>
      <w:bookmarkEnd w:id="320"/>
      <w:bookmarkStart w:id="321" w:name="_Toc184314447"/>
      <w:bookmarkEnd w:id="321"/>
      <w:bookmarkStart w:id="322" w:name="_Toc184314430"/>
      <w:bookmarkEnd w:id="322"/>
      <w:bookmarkStart w:id="323" w:name="_Toc184313258"/>
      <w:bookmarkEnd w:id="323"/>
      <w:bookmarkStart w:id="324" w:name="_Toc184312138"/>
      <w:bookmarkEnd w:id="324"/>
      <w:bookmarkStart w:id="325" w:name="_Toc184310273"/>
      <w:bookmarkEnd w:id="325"/>
      <w:bookmarkStart w:id="326" w:name="_Toc184308060"/>
      <w:bookmarkEnd w:id="326"/>
      <w:bookmarkStart w:id="327" w:name="_Toc184310315"/>
      <w:bookmarkEnd w:id="327"/>
      <w:bookmarkStart w:id="328" w:name="_Toc184313285"/>
      <w:bookmarkEnd w:id="328"/>
      <w:bookmarkStart w:id="329" w:name="_Toc184312101"/>
      <w:bookmarkEnd w:id="329"/>
      <w:bookmarkStart w:id="330" w:name="_Toc184312089"/>
      <w:bookmarkEnd w:id="330"/>
      <w:bookmarkStart w:id="331" w:name="_Toc184310303"/>
      <w:bookmarkEnd w:id="331"/>
      <w:bookmarkStart w:id="332" w:name="_Toc184310307"/>
      <w:bookmarkEnd w:id="332"/>
      <w:bookmarkStart w:id="333" w:name="_Toc184313310"/>
      <w:bookmarkEnd w:id="333"/>
      <w:bookmarkStart w:id="334" w:name="_Toc184313260"/>
      <w:bookmarkEnd w:id="334"/>
      <w:bookmarkStart w:id="335" w:name="_Toc184313298"/>
      <w:bookmarkEnd w:id="335"/>
      <w:bookmarkStart w:id="336" w:name="_Toc184310293"/>
      <w:bookmarkEnd w:id="336"/>
      <w:bookmarkStart w:id="337" w:name="_Toc184312097"/>
      <w:bookmarkEnd w:id="337"/>
      <w:bookmarkStart w:id="338" w:name="_Toc184313251"/>
      <w:bookmarkEnd w:id="338"/>
      <w:bookmarkStart w:id="339" w:name="_Toc184312137"/>
      <w:bookmarkEnd w:id="339"/>
      <w:bookmarkStart w:id="340" w:name="_Toc184313282"/>
      <w:bookmarkEnd w:id="340"/>
      <w:bookmarkStart w:id="341" w:name="_Toc184313287"/>
      <w:bookmarkEnd w:id="341"/>
      <w:bookmarkStart w:id="342" w:name="_Toc184312136"/>
      <w:bookmarkEnd w:id="342"/>
      <w:bookmarkStart w:id="343" w:name="_Toc184310327"/>
      <w:bookmarkEnd w:id="343"/>
      <w:bookmarkStart w:id="344" w:name="_Toc184314420"/>
      <w:bookmarkEnd w:id="344"/>
      <w:bookmarkStart w:id="345" w:name="_Toc184313240"/>
      <w:bookmarkEnd w:id="345"/>
      <w:bookmarkStart w:id="346" w:name="_Toc184314415"/>
      <w:bookmarkEnd w:id="346"/>
      <w:bookmarkStart w:id="347" w:name="_Toc184308041"/>
      <w:bookmarkEnd w:id="347"/>
      <w:bookmarkStart w:id="348" w:name="_Toc184313299"/>
      <w:bookmarkEnd w:id="348"/>
      <w:bookmarkStart w:id="349" w:name="_Toc184312127"/>
      <w:bookmarkEnd w:id="349"/>
      <w:bookmarkStart w:id="350" w:name="_Toc184312092"/>
      <w:bookmarkEnd w:id="350"/>
      <w:bookmarkStart w:id="351" w:name="_Toc184312070"/>
      <w:bookmarkEnd w:id="351"/>
      <w:bookmarkStart w:id="352" w:name="_Toc184308107"/>
      <w:bookmarkEnd w:id="352"/>
      <w:bookmarkStart w:id="353" w:name="_Toc184314444"/>
      <w:bookmarkEnd w:id="353"/>
      <w:bookmarkStart w:id="354" w:name="_Toc184308038"/>
      <w:bookmarkEnd w:id="354"/>
      <w:bookmarkStart w:id="355" w:name="_Toc184308075"/>
      <w:bookmarkEnd w:id="355"/>
      <w:bookmarkStart w:id="356" w:name="_Toc184313239"/>
      <w:bookmarkEnd w:id="356"/>
      <w:bookmarkStart w:id="357" w:name="_Toc184314433"/>
      <w:bookmarkEnd w:id="357"/>
      <w:bookmarkStart w:id="358" w:name="_Toc184310309"/>
      <w:bookmarkEnd w:id="358"/>
      <w:bookmarkStart w:id="359" w:name="_Toc184308050"/>
      <w:bookmarkEnd w:id="359"/>
      <w:bookmarkStart w:id="360" w:name="_Toc184310272"/>
      <w:bookmarkEnd w:id="360"/>
      <w:bookmarkStart w:id="361" w:name="_Toc184313281"/>
      <w:bookmarkEnd w:id="361"/>
      <w:bookmarkStart w:id="362" w:name="_Toc184313303"/>
      <w:bookmarkEnd w:id="362"/>
      <w:bookmarkStart w:id="363" w:name="_Toc184313297"/>
      <w:bookmarkEnd w:id="363"/>
      <w:bookmarkStart w:id="364" w:name="_Toc184312068"/>
      <w:bookmarkEnd w:id="364"/>
      <w:bookmarkStart w:id="365" w:name="_Toc184308042"/>
      <w:bookmarkEnd w:id="365"/>
      <w:bookmarkStart w:id="366" w:name="_Toc184312119"/>
      <w:bookmarkEnd w:id="366"/>
      <w:bookmarkStart w:id="367" w:name="_Toc184314456"/>
      <w:bookmarkEnd w:id="367"/>
      <w:bookmarkStart w:id="368" w:name="_Toc184308049"/>
      <w:bookmarkEnd w:id="368"/>
      <w:bookmarkStart w:id="369" w:name="_Toc184314464"/>
      <w:bookmarkEnd w:id="369"/>
      <w:bookmarkStart w:id="370" w:name="_Toc184312108"/>
      <w:bookmarkEnd w:id="370"/>
      <w:bookmarkStart w:id="371" w:name="_Toc184308071"/>
      <w:bookmarkEnd w:id="371"/>
      <w:bookmarkStart w:id="372" w:name="_Toc184312122"/>
      <w:bookmarkEnd w:id="372"/>
      <w:bookmarkStart w:id="373" w:name="_Toc184312103"/>
      <w:bookmarkEnd w:id="373"/>
      <w:bookmarkStart w:id="374" w:name="_Toc184313244"/>
      <w:bookmarkEnd w:id="374"/>
      <w:bookmarkStart w:id="375" w:name="_Toc184312080"/>
      <w:bookmarkEnd w:id="375"/>
      <w:bookmarkStart w:id="376" w:name="_Toc184310274"/>
      <w:bookmarkEnd w:id="376"/>
      <w:bookmarkStart w:id="377" w:name="_Toc184310316"/>
      <w:bookmarkEnd w:id="377"/>
      <w:bookmarkStart w:id="378" w:name="_Toc184314413"/>
      <w:bookmarkEnd w:id="378"/>
      <w:bookmarkStart w:id="379" w:name="_Toc184310330"/>
      <w:bookmarkEnd w:id="379"/>
      <w:bookmarkStart w:id="380" w:name="_Toc184314458"/>
      <w:bookmarkEnd w:id="380"/>
      <w:bookmarkStart w:id="381" w:name="_Toc184314418"/>
      <w:bookmarkEnd w:id="381"/>
      <w:bookmarkStart w:id="382" w:name="_Toc184310280"/>
      <w:bookmarkEnd w:id="382"/>
      <w:bookmarkStart w:id="383" w:name="_Toc184313309"/>
      <w:bookmarkEnd w:id="383"/>
      <w:bookmarkStart w:id="384" w:name="_Toc184312099"/>
      <w:bookmarkEnd w:id="384"/>
      <w:bookmarkStart w:id="385" w:name="_Toc184308077"/>
      <w:bookmarkEnd w:id="385"/>
      <w:bookmarkStart w:id="386" w:name="_Toc184313243"/>
      <w:bookmarkEnd w:id="386"/>
      <w:bookmarkStart w:id="387" w:name="_Toc184312129"/>
      <w:bookmarkEnd w:id="387"/>
      <w:bookmarkStart w:id="388" w:name="_Toc184312083"/>
      <w:bookmarkEnd w:id="388"/>
      <w:r>
        <w:rPr>
          <w:rFonts w:hint="eastAsia" w:ascii="宋体" w:hAnsi="宋体" w:eastAsia="宋体" w:cs="宋体"/>
          <w:b/>
          <w:color w:val="000000" w:themeColor="text1"/>
          <w:sz w:val="36"/>
          <w:szCs w:val="36"/>
          <w:highlight w:val="none"/>
          <w14:textFill>
            <w14:solidFill>
              <w14:schemeClr w14:val="tx1"/>
            </w14:solidFill>
          </w14:textFill>
        </w:rPr>
        <w:t>评标办法</w:t>
      </w:r>
    </w:p>
    <w:p w14:paraId="295013C4">
      <w:pPr>
        <w:adjustRightInd/>
        <w:spacing w:line="360" w:lineRule="auto"/>
        <w:ind w:firstLine="470"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根据《中华人民共和国政府采购法</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政府采购询价采购方式管理暂行办法》等要求，遵循公开、公平、公正、科学、择优原则和诚实、信誉、效率的服务原则，制定本评审办法。</w:t>
      </w:r>
    </w:p>
    <w:p w14:paraId="3C796B14">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6BB93D61">
      <w:pPr>
        <w:adjustRightInd/>
        <w:spacing w:line="360" w:lineRule="auto"/>
        <w:ind w:firstLine="472" w:firstLineChars="196"/>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1.本项目采用最低评标价法。</w:t>
      </w:r>
      <w:r>
        <w:rPr>
          <w:rFonts w:hint="eastAsia" w:ascii="宋体" w:hAnsi="宋体" w:eastAsia="宋体" w:cs="宋体"/>
          <w:color w:val="000000" w:themeColor="text1"/>
          <w:kern w:val="0"/>
          <w:sz w:val="24"/>
          <w:highlight w:val="none"/>
          <w14:textFill>
            <w14:solidFill>
              <w14:schemeClr w14:val="tx1"/>
            </w14:solidFill>
          </w14:textFill>
        </w:rPr>
        <w:t>最低评标价法，是指符合采购需求、质量和服务相等且报价最低的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确定为成交候选供应商的评标方法，即满足询价文件实质性要求前提下，依据统一的价格要素评定最低报价，以提出合理最低报价的询价供应商作为成交候选供应商或者成交供应商的评标方法。根据《中华人民共和国财政部令第787号》第六十条规定：“评标委员会认为</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的报价明显低于其他通过符合性审查供应商的报价，有可能影响产品质量或者不能诚信履约的，应当要求其在评标现场合理的时间内提供书面说明，必要时提交相关证明材料；</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不能证明其报价合理性的，评标委员会应当将其作为无效投标处理”。</w:t>
      </w:r>
    </w:p>
    <w:p w14:paraId="471E6E74">
      <w:pPr>
        <w:adjustRightInd/>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w:t>
      </w:r>
      <w:r>
        <w:rPr>
          <w:rFonts w:hint="eastAsia" w:ascii="宋体" w:hAnsi="宋体" w:eastAsia="宋体" w:cs="宋体"/>
          <w:b/>
          <w:color w:val="000000" w:themeColor="text1"/>
          <w:sz w:val="32"/>
          <w:highlight w:val="none"/>
          <w:lang w:eastAsia="zh-CN"/>
          <w14:textFill>
            <w14:solidFill>
              <w14:schemeClr w14:val="tx1"/>
            </w14:solidFill>
          </w14:textFill>
        </w:rPr>
        <w:t>总则</w:t>
      </w:r>
    </w:p>
    <w:p w14:paraId="3F4E63A2">
      <w:pPr>
        <w:adjustRightInd/>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2.1 </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小组成员应当按照客观、公正、审慎的原则，根据</w:t>
      </w:r>
      <w:r>
        <w:rPr>
          <w:rFonts w:hint="eastAsia" w:ascii="宋体" w:hAnsi="宋体" w:eastAsia="宋体" w:cs="宋体"/>
          <w:color w:val="000000" w:themeColor="text1"/>
          <w:kern w:val="0"/>
          <w:sz w:val="24"/>
          <w:highlight w:val="none"/>
          <w:lang w:eastAsia="zh-CN"/>
          <w14:textFill>
            <w14:solidFill>
              <w14:schemeClr w14:val="tx1"/>
            </w14:solidFill>
          </w14:textFill>
        </w:rPr>
        <w:t>询价文件</w:t>
      </w:r>
      <w:r>
        <w:rPr>
          <w:rFonts w:hint="eastAsia" w:ascii="宋体" w:hAnsi="宋体" w:eastAsia="宋体" w:cs="宋体"/>
          <w:color w:val="000000" w:themeColor="text1"/>
          <w:kern w:val="0"/>
          <w:sz w:val="24"/>
          <w:highlight w:val="none"/>
          <w14:textFill>
            <w14:solidFill>
              <w14:schemeClr w14:val="tx1"/>
            </w14:solidFill>
          </w14:textFill>
        </w:rPr>
        <w:t>规定的评审程序、评审方法和评审标准进行独立评审。</w:t>
      </w:r>
    </w:p>
    <w:p w14:paraId="4EF465FD">
      <w:pPr>
        <w:adjustRightInd/>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2.2 </w:t>
      </w:r>
      <w:r>
        <w:rPr>
          <w:rFonts w:hint="eastAsia" w:ascii="宋体" w:hAnsi="宋体" w:eastAsia="宋体" w:cs="宋体"/>
          <w:color w:val="000000" w:themeColor="text1"/>
          <w:kern w:val="0"/>
          <w:sz w:val="24"/>
          <w:highlight w:val="none"/>
          <w14:textFill>
            <w14:solidFill>
              <w14:schemeClr w14:val="tx1"/>
            </w14:solidFill>
          </w14:textFill>
        </w:rPr>
        <w:t>对落标人，</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小组不作任何落标解释。</w:t>
      </w:r>
    </w:p>
    <w:p w14:paraId="2FABD382">
      <w:pPr>
        <w:adjustRightInd/>
        <w:spacing w:line="360" w:lineRule="auto"/>
        <w:rPr>
          <w:rFonts w:hint="eastAsia" w:ascii="宋体" w:hAnsi="宋体" w:eastAsia="宋体" w:cs="宋体"/>
          <w:b/>
          <w:color w:val="000000" w:themeColor="text1"/>
          <w:sz w:val="32"/>
          <w:highlight w:val="none"/>
          <w:lang w:val="en-US" w:eastAsia="zh-CN"/>
          <w14:textFill>
            <w14:solidFill>
              <w14:schemeClr w14:val="tx1"/>
            </w14:solidFill>
          </w14:textFill>
        </w:rPr>
      </w:pPr>
      <w:r>
        <w:rPr>
          <w:rFonts w:hint="eastAsia" w:ascii="宋体" w:hAnsi="宋体" w:eastAsia="宋体" w:cs="宋体"/>
          <w:b/>
          <w:color w:val="000000" w:themeColor="text1"/>
          <w:sz w:val="32"/>
          <w:highlight w:val="none"/>
          <w:lang w:val="en-US" w:eastAsia="zh-CN"/>
          <w14:textFill>
            <w14:solidFill>
              <w14:schemeClr w14:val="tx1"/>
            </w14:solidFill>
          </w14:textFill>
        </w:rPr>
        <w:t>三、</w:t>
      </w:r>
      <w:bookmarkStart w:id="389" w:name="_Toc22566"/>
      <w:bookmarkStart w:id="390" w:name="_Toc1032"/>
      <w:bookmarkStart w:id="391" w:name="_Toc281"/>
      <w:r>
        <w:rPr>
          <w:rFonts w:hint="eastAsia" w:ascii="宋体" w:hAnsi="宋体" w:eastAsia="宋体" w:cs="宋体"/>
          <w:b/>
          <w:color w:val="000000" w:themeColor="text1"/>
          <w:sz w:val="32"/>
          <w:highlight w:val="none"/>
          <w:lang w:val="en-US" w:eastAsia="zh-CN"/>
          <w14:textFill>
            <w14:solidFill>
              <w14:schemeClr w14:val="tx1"/>
            </w14:solidFill>
          </w14:textFill>
        </w:rPr>
        <w:t>评审组织</w:t>
      </w:r>
      <w:bookmarkEnd w:id="389"/>
      <w:bookmarkEnd w:id="390"/>
      <w:bookmarkEnd w:id="391"/>
    </w:p>
    <w:p w14:paraId="741973DC">
      <w:pPr>
        <w:adjustRightInd/>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评审工作由采购单位依法组建的</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小组负责。</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小组由</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代表和评审专家3人以上单数组成。</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小组负责审标、询标、评审等工作，并向</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提出评审意见和评审报告。</w:t>
      </w:r>
    </w:p>
    <w:p w14:paraId="163D3D7E">
      <w:pPr>
        <w:adjustRightInd/>
        <w:spacing w:line="360" w:lineRule="auto"/>
        <w:rPr>
          <w:rFonts w:hint="eastAsia" w:ascii="宋体" w:hAnsi="宋体" w:eastAsia="宋体" w:cs="宋体"/>
          <w:b/>
          <w:color w:val="000000" w:themeColor="text1"/>
          <w:sz w:val="32"/>
          <w:highlight w:val="none"/>
          <w:lang w:val="en-US" w:eastAsia="zh-CN"/>
          <w14:textFill>
            <w14:solidFill>
              <w14:schemeClr w14:val="tx1"/>
            </w14:solidFill>
          </w14:textFill>
        </w:rPr>
      </w:pPr>
      <w:r>
        <w:rPr>
          <w:rFonts w:hint="eastAsia" w:ascii="宋体" w:hAnsi="宋体" w:eastAsia="宋体" w:cs="宋体"/>
          <w:b/>
          <w:color w:val="000000" w:themeColor="text1"/>
          <w:sz w:val="32"/>
          <w:highlight w:val="none"/>
          <w:lang w:val="en-US" w:eastAsia="zh-CN"/>
          <w14:textFill>
            <w14:solidFill>
              <w14:schemeClr w14:val="tx1"/>
            </w14:solidFill>
          </w14:textFill>
        </w:rPr>
        <w:t>四、</w:t>
      </w:r>
      <w:bookmarkStart w:id="392" w:name="_Toc12648"/>
      <w:bookmarkStart w:id="393" w:name="_Toc8458"/>
      <w:r>
        <w:rPr>
          <w:rFonts w:hint="eastAsia" w:ascii="宋体" w:hAnsi="宋体" w:eastAsia="宋体" w:cs="宋体"/>
          <w:b/>
          <w:color w:val="000000" w:themeColor="text1"/>
          <w:sz w:val="32"/>
          <w:highlight w:val="none"/>
          <w:lang w:val="en-US" w:eastAsia="zh-CN"/>
          <w14:textFill>
            <w14:solidFill>
              <w14:schemeClr w14:val="tx1"/>
            </w14:solidFill>
          </w14:textFill>
        </w:rPr>
        <w:t>询价要求</w:t>
      </w:r>
      <w:bookmarkEnd w:id="392"/>
      <w:bookmarkEnd w:id="393"/>
    </w:p>
    <w:p w14:paraId="6D6875E4">
      <w:pPr>
        <w:adjustRightInd/>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4.1 询价小组将询价有关规定与</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进行封闭式询价，询价的内容包括（但不限于）</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的报价、合同条款响应情况、技术方案的可行性、承诺的后期服务等。</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有义务对询价小组就响应文件中不明确的条款进行澄清，</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在询价时可以对其响应文件进行补充或调整，在询价结束前，</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应对其澄清、补充、调整的相关内容以书面方式进行最终确认，形成最终承诺书。在询价过程中，</w:t>
      </w:r>
      <w:r>
        <w:rPr>
          <w:rFonts w:hint="eastAsia" w:ascii="宋体" w:hAnsi="宋体" w:cs="宋体"/>
          <w:color w:val="000000" w:themeColor="text1"/>
          <w:kern w:val="0"/>
          <w:sz w:val="24"/>
          <w:highlight w:val="none"/>
          <w:lang w:val="en-US" w:eastAsia="zh-CN"/>
          <w14:textFill>
            <w14:solidFill>
              <w14:schemeClr w14:val="tx1"/>
            </w14:solidFill>
          </w14:textFill>
        </w:rPr>
        <w:t>采购单位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及询价小组有权变更相关要求，不对因此而受影响的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承担责任。询价中如有实质性变动，询价小组将通</w:t>
      </w:r>
      <w:r>
        <w:rPr>
          <w:rFonts w:hint="eastAsia" w:ascii="宋体" w:hAnsi="宋体" w:cs="宋体"/>
          <w:color w:val="000000" w:themeColor="text1"/>
          <w:kern w:val="0"/>
          <w:sz w:val="24"/>
          <w:highlight w:val="none"/>
          <w:lang w:val="en-US" w:eastAsia="zh-CN"/>
          <w14:textFill>
            <w14:solidFill>
              <w14:schemeClr w14:val="tx1"/>
            </w14:solidFill>
          </w14:textFill>
        </w:rPr>
        <w:t>过</w:t>
      </w:r>
      <w:r>
        <w:rPr>
          <w:rFonts w:hint="eastAsia" w:ascii="宋体" w:hAnsi="宋体" w:eastAsia="宋体" w:cs="宋体"/>
          <w:color w:val="000000" w:themeColor="text1"/>
          <w:kern w:val="0"/>
          <w:sz w:val="24"/>
          <w:highlight w:val="none"/>
          <w:lang w:val="en-US" w:eastAsia="zh-CN"/>
          <w14:textFill>
            <w14:solidFill>
              <w14:schemeClr w14:val="tx1"/>
            </w14:solidFill>
          </w14:textFill>
        </w:rPr>
        <w:t>手机电话形式通知参加询价的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742AE2DB">
      <w:pPr>
        <w:adjustRightInd/>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 询价小组将要求所有参加询价的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按询价小组提出的要求并在规定时间内分别进行最终报价，各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在规定时间之后的报价将被视为无效。</w:t>
      </w:r>
    </w:p>
    <w:p w14:paraId="0189A859">
      <w:pPr>
        <w:adjustRightInd/>
        <w:spacing w:line="360" w:lineRule="auto"/>
        <w:rPr>
          <w:rFonts w:hint="eastAsia" w:ascii="宋体" w:hAnsi="宋体" w:eastAsia="宋体" w:cs="宋体"/>
          <w:b/>
          <w:color w:val="000000" w:themeColor="text1"/>
          <w:sz w:val="32"/>
          <w:highlight w:val="none"/>
          <w:lang w:val="en-US" w:eastAsia="zh-CN"/>
          <w14:textFill>
            <w14:solidFill>
              <w14:schemeClr w14:val="tx1"/>
            </w14:solidFill>
          </w14:textFill>
        </w:rPr>
      </w:pPr>
      <w:r>
        <w:rPr>
          <w:rFonts w:hint="eastAsia" w:ascii="宋体" w:hAnsi="宋体" w:eastAsia="宋体" w:cs="宋体"/>
          <w:b/>
          <w:color w:val="000000" w:themeColor="text1"/>
          <w:sz w:val="32"/>
          <w:highlight w:val="none"/>
          <w:lang w:val="en-US" w:eastAsia="zh-CN"/>
          <w14:textFill>
            <w14:solidFill>
              <w14:schemeClr w14:val="tx1"/>
            </w14:solidFill>
          </w14:textFill>
        </w:rPr>
        <w:t>五、评标程序</w:t>
      </w:r>
    </w:p>
    <w:p w14:paraId="0F896284">
      <w:pPr>
        <w:pStyle w:val="85"/>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5.1资格审查：</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由</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采购单位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或采购代理机构代表根据询价文件的规定对</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进行资格审查，资格审查不合格的</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，其投标作无效标处理。</w:t>
      </w:r>
    </w:p>
    <w:p w14:paraId="7F920837">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highlight w:val="none"/>
          <w14:textFill>
            <w14:solidFill>
              <w14:schemeClr w14:val="tx1"/>
            </w14:solidFill>
          </w14:textFill>
        </w:rPr>
        <w:t>符合性审查。</w:t>
      </w:r>
      <w:r>
        <w:rPr>
          <w:rFonts w:hint="eastAsia" w:ascii="宋体" w:hAnsi="宋体" w:eastAsia="宋体" w:cs="宋体"/>
          <w:color w:val="000000" w:themeColor="text1"/>
          <w:kern w:val="0"/>
          <w:sz w:val="24"/>
          <w:highlight w:val="none"/>
          <w:lang w:val="en-US" w:eastAsia="zh-CN"/>
          <w14:textFill>
            <w14:solidFill>
              <w14:schemeClr w14:val="tx1"/>
            </w14:solidFill>
          </w14:textFill>
        </w:rPr>
        <w:t>依据询价文件的规定，从询价响应文件的有效性、完整性和对询价文件的响应程度进行初步审查，以确定是否对询价文件的实质性要求作出响应。</w:t>
      </w:r>
    </w:p>
    <w:p w14:paraId="7F0EA4F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highlight w:val="none"/>
          <w14:textFill>
            <w14:solidFill>
              <w14:schemeClr w14:val="tx1"/>
            </w14:solidFill>
          </w14:textFill>
        </w:rPr>
        <w:t xml:space="preserve"> 比较与评价。</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询价小组在询价期间，就有关问题向</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进行询价，须对询价中所涉及的澄清、修改、承诺等补充资料在规定的时间内提交至询价小组，作为询价响应文件的补充。如该</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成为</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中标单位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，则该</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的询价响应文件（含所有补充资料）将作为合同的组成部分。</w:t>
      </w:r>
    </w:p>
    <w:p w14:paraId="69787071">
      <w:pPr>
        <w:pStyle w:val="8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5.4 确定入围</w:t>
      </w:r>
      <w:r>
        <w:rPr>
          <w:rFonts w:hint="eastAsia" w:ascii="宋体" w:hAnsi="宋体" w:cs="宋体"/>
          <w:b/>
          <w:bCs/>
          <w:color w:val="000000" w:themeColor="text1"/>
          <w:kern w:val="0"/>
          <w:sz w:val="24"/>
          <w:szCs w:val="24"/>
          <w:highlight w:val="none"/>
          <w:lang w:val="en-US" w:eastAsia="zh-CN" w:bidi="ar-SA"/>
          <w14:textFill>
            <w14:solidFill>
              <w14:schemeClr w14:val="tx1"/>
            </w14:solidFill>
          </w14:textFill>
        </w:rPr>
        <w:t>单位</w:t>
      </w: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根据以上综合评审，由询价小组确定入围</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w:t>
      </w:r>
    </w:p>
    <w:p w14:paraId="2F29A3C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5.5 定标细则</w:t>
      </w:r>
    </w:p>
    <w:p w14:paraId="4C9FBC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5.5.1 入围</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确定后，开启</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的报价文件，再由询价小组对</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进行一对一询价，本次评审方法采取最低评审价法：询价小组从质量和服务均能满足询价通知书实质性响应要求的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中，按照报价由低到高的顺序提出1名成交候选人。</w:t>
      </w:r>
    </w:p>
    <w:p w14:paraId="36C1466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 xml:space="preserve">5.5.2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报价是中标的一个重要因素，但最低报价不是中标的唯一依据。</w:t>
      </w:r>
    </w:p>
    <w:p w14:paraId="59EDEC0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5.5.3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评标委员会认为</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的报价明显低于其他通过符合性审</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查的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的报价，有可能影响产品质量或者不能诚信履约的，应当要求其在评标现场合理的时间内提供书面说明，必要时提交相关证明材料；供应商不能证明其报价合理性的，评标委员会应当将其作为无效投标处理，并在评审报告中说明。</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采购单位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或采购代理机构应将上述情况报同级财政部门，对弄虚作假、恶意串通的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，应将其列入不良行为记录名单，在1至3年内禁止参加采购活动。</w:t>
      </w:r>
    </w:p>
    <w:p w14:paraId="46BB76FF">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6</w:t>
      </w:r>
      <w:r>
        <w:rPr>
          <w:rFonts w:hint="eastAsia" w:ascii="宋体" w:hAnsi="宋体" w:eastAsia="宋体" w:cs="宋体"/>
          <w:b/>
          <w:color w:val="000000" w:themeColor="text1"/>
          <w:kern w:val="0"/>
          <w:sz w:val="24"/>
          <w:highlight w:val="none"/>
          <w14:textFill>
            <w14:solidFill>
              <w14:schemeClr w14:val="tx1"/>
            </w14:solidFill>
          </w14:textFill>
        </w:rPr>
        <w:t>报价评审。</w:t>
      </w:r>
    </w:p>
    <w:p w14:paraId="2A577051">
      <w:pPr>
        <w:pStyle w:val="135"/>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14:textFill>
            <w14:solidFill>
              <w14:schemeClr w14:val="tx1"/>
            </w14:solidFill>
          </w14:textFill>
        </w:rPr>
        <w:t>.1投标文件报价出现前后不一致的，按照下列规定修正：</w:t>
      </w:r>
    </w:p>
    <w:p w14:paraId="3E1D7026">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.1.1投标文件中开标一览表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内容与投标文件中相应内容不一致的，以开标一览表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为准</w:t>
      </w:r>
      <w:r>
        <w:rPr>
          <w:rFonts w:hint="eastAsia" w:ascii="宋体" w:hAnsi="宋体" w:cs="宋体"/>
          <w:color w:val="000000" w:themeColor="text1"/>
          <w:kern w:val="0"/>
          <w:szCs w:val="24"/>
          <w:highlight w:val="none"/>
          <w:lang w:eastAsia="zh-CN"/>
          <w14:textFill>
            <w14:solidFill>
              <w14:schemeClr w14:val="tx1"/>
            </w14:solidFill>
          </w14:textFill>
        </w:rPr>
        <w:t>；</w:t>
      </w:r>
    </w:p>
    <w:p w14:paraId="665F6644">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.1.2大写金额和小写金额不一致的，以大写金额为准</w:t>
      </w:r>
      <w:r>
        <w:rPr>
          <w:rFonts w:hint="eastAsia" w:ascii="宋体" w:hAnsi="宋体" w:cs="宋体"/>
          <w:color w:val="000000" w:themeColor="text1"/>
          <w:kern w:val="0"/>
          <w:szCs w:val="24"/>
          <w:highlight w:val="none"/>
          <w:lang w:eastAsia="zh-CN"/>
          <w14:textFill>
            <w14:solidFill>
              <w14:schemeClr w14:val="tx1"/>
            </w14:solidFill>
          </w14:textFill>
        </w:rPr>
        <w:t>；</w:t>
      </w:r>
    </w:p>
    <w:p w14:paraId="43951929">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.1.3单价金额小数点或者百分比有明显错位的，以开标一览表的总价为准，并修改单价</w:t>
      </w:r>
      <w:r>
        <w:rPr>
          <w:rFonts w:hint="eastAsia" w:ascii="宋体" w:hAnsi="宋体" w:cs="宋体"/>
          <w:color w:val="000000" w:themeColor="text1"/>
          <w:kern w:val="0"/>
          <w:szCs w:val="24"/>
          <w:highlight w:val="none"/>
          <w:lang w:eastAsia="zh-CN"/>
          <w14:textFill>
            <w14:solidFill>
              <w14:schemeClr w14:val="tx1"/>
            </w14:solidFill>
          </w14:textFill>
        </w:rPr>
        <w:t>；</w:t>
      </w:r>
    </w:p>
    <w:p w14:paraId="1EDC4E38">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.1.4总价金额与按单价汇总金额不一致的，以单价金额计算结果为准。</w:t>
      </w:r>
    </w:p>
    <w:p w14:paraId="2E31C3F3">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确认后产生约束力。</w:t>
      </w:r>
    </w:p>
    <w:p w14:paraId="7726B077">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.2投标文件出现不是唯一的、有选择性投标报价的，投标无效。</w:t>
      </w:r>
    </w:p>
    <w:p w14:paraId="274EB323">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.3投标报价超过招标文件中规定的预算金额或者最高限价的，投标无效。</w:t>
      </w:r>
    </w:p>
    <w:p w14:paraId="56D4CF49">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.4评标委员会认为</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的报价明显低于其他通过符合性审</w:t>
      </w:r>
      <w:r>
        <w:rPr>
          <w:rFonts w:hint="eastAsia" w:ascii="宋体" w:hAnsi="宋体" w:cs="宋体"/>
          <w:color w:val="000000" w:themeColor="text1"/>
          <w:kern w:val="0"/>
          <w:szCs w:val="24"/>
          <w:highlight w:val="none"/>
          <w:lang w:eastAsia="zh-CN"/>
          <w14:textFill>
            <w14:solidFill>
              <w14:schemeClr w14:val="tx1"/>
            </w14:solidFill>
          </w14:textFill>
        </w:rPr>
        <w:t>查的投标单位</w:t>
      </w:r>
      <w:r>
        <w:rPr>
          <w:rFonts w:hint="eastAsia" w:ascii="宋体" w:hAnsi="宋体" w:eastAsia="宋体" w:cs="宋体"/>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不能证明其报价合理性的，评标委员会应当将其作为无效投标处理。</w:t>
      </w:r>
    </w:p>
    <w:p w14:paraId="2381D551">
      <w:pPr>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7</w:t>
      </w:r>
      <w:r>
        <w:rPr>
          <w:rFonts w:hint="eastAsia" w:ascii="宋体" w:hAnsi="宋体" w:eastAsia="宋体" w:cs="宋体"/>
          <w:b/>
          <w:color w:val="000000" w:themeColor="text1"/>
          <w:kern w:val="0"/>
          <w:sz w:val="24"/>
          <w:highlight w:val="none"/>
          <w14:textFill>
            <w14:solidFill>
              <w14:schemeClr w14:val="tx1"/>
            </w14:solidFill>
          </w14:textFill>
        </w:rPr>
        <w:t>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4C57AAB">
      <w:pPr>
        <w:adjustRightInd/>
        <w:spacing w:line="360" w:lineRule="auto"/>
        <w:rPr>
          <w:rFonts w:hint="eastAsia" w:ascii="宋体" w:hAnsi="宋体" w:eastAsia="宋体" w:cs="宋体"/>
          <w:b/>
          <w:color w:val="000000" w:themeColor="text1"/>
          <w:sz w:val="32"/>
          <w:highlight w:val="none"/>
          <w:lang w:val="en-US" w:eastAsia="zh-CN"/>
          <w14:textFill>
            <w14:solidFill>
              <w14:schemeClr w14:val="tx1"/>
            </w14:solidFill>
          </w14:textFill>
        </w:rPr>
      </w:pPr>
      <w:r>
        <w:rPr>
          <w:rFonts w:hint="eastAsia" w:ascii="宋体" w:hAnsi="宋体" w:eastAsia="宋体" w:cs="宋体"/>
          <w:b/>
          <w:color w:val="000000" w:themeColor="text1"/>
          <w:sz w:val="32"/>
          <w:highlight w:val="none"/>
          <w:lang w:val="en-US" w:eastAsia="zh-CN"/>
          <w14:textFill>
            <w14:solidFill>
              <w14:schemeClr w14:val="tx1"/>
            </w14:solidFill>
          </w14:textFill>
        </w:rPr>
        <w:t>六、评标中的其他事项</w:t>
      </w:r>
    </w:p>
    <w:p w14:paraId="4F13A1E6">
      <w:pPr>
        <w:pStyle w:val="135"/>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b/>
          <w:color w:val="000000" w:themeColor="text1"/>
          <w:kern w:val="0"/>
          <w:szCs w:val="24"/>
          <w:highlight w:val="none"/>
          <w14:textFill>
            <w14:solidFill>
              <w14:schemeClr w14:val="tx1"/>
            </w14:solidFill>
          </w14:textFill>
        </w:rPr>
        <w:t>.1</w:t>
      </w:r>
      <w:r>
        <w:rPr>
          <w:rFonts w:hint="eastAsia" w:ascii="宋体" w:hAnsi="宋体" w:cs="宋体"/>
          <w:b/>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b/>
          <w:color w:val="000000" w:themeColor="text1"/>
          <w:kern w:val="0"/>
          <w:szCs w:val="24"/>
          <w:highlight w:val="none"/>
          <w14:textFill>
            <w14:solidFill>
              <w14:schemeClr w14:val="tx1"/>
            </w14:solidFill>
          </w14:textFill>
        </w:rPr>
        <w:t>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作出必要的澄清、说明或者补正的，评标委员会和</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通过</w:t>
      </w:r>
      <w:r>
        <w:rPr>
          <w:rFonts w:hint="eastAsia" w:ascii="宋体" w:hAnsi="宋体" w:eastAsia="宋体" w:cs="宋体"/>
          <w:color w:val="000000" w:themeColor="text1"/>
          <w:kern w:val="0"/>
          <w:szCs w:val="24"/>
          <w:highlight w:val="none"/>
          <w:lang w:eastAsia="zh-CN"/>
          <w14:textFill>
            <w14:solidFill>
              <w14:schemeClr w14:val="tx1"/>
            </w14:solidFill>
          </w14:textFill>
        </w:rPr>
        <w:t>手机电话形式进行询标</w:t>
      </w:r>
      <w:r>
        <w:rPr>
          <w:rFonts w:hint="eastAsia" w:ascii="宋体" w:hAnsi="宋体" w:eastAsia="宋体" w:cs="宋体"/>
          <w:color w:val="000000" w:themeColor="text1"/>
          <w:kern w:val="0"/>
          <w:szCs w:val="24"/>
          <w:highlight w:val="none"/>
          <w14:textFill>
            <w14:solidFill>
              <w14:schemeClr w14:val="tx1"/>
            </w14:solidFill>
          </w14:textFill>
        </w:rPr>
        <w:t>，给予</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提交澄清、说明或补正的时间不得少于半小时，</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已经明确表示澄清说明或补正完毕的除外。</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的澄清、说明或者补正不得超出投标文件的范围或者改变投标文件的实质性内容。</w:t>
      </w:r>
    </w:p>
    <w:p w14:paraId="663B55F0">
      <w:pPr>
        <w:pStyle w:val="29"/>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lang w:val="en-US" w:eastAsia="zh-CN"/>
          <w14:textFill>
            <w14:solidFill>
              <w14:schemeClr w14:val="tx1"/>
            </w14:solidFill>
          </w14:textFill>
        </w:rPr>
        <w:t>6</w:t>
      </w:r>
      <w:r>
        <w:rPr>
          <w:rFonts w:hint="eastAsia" w:ascii="宋体" w:hAnsi="宋体" w:eastAsia="宋体" w:cs="宋体"/>
          <w:b/>
          <w:color w:val="000000" w:themeColor="text1"/>
          <w:kern w:val="0"/>
          <w:highlight w:val="none"/>
          <w14:textFill>
            <w14:solidFill>
              <w14:schemeClr w14:val="tx1"/>
            </w14:solidFill>
          </w14:textFill>
        </w:rPr>
        <w:t>.2投标无效。</w:t>
      </w:r>
      <w:r>
        <w:rPr>
          <w:rFonts w:hint="eastAsia" w:ascii="宋体" w:hAnsi="宋体" w:eastAsia="宋体" w:cs="宋体"/>
          <w:color w:val="000000" w:themeColor="text1"/>
          <w:szCs w:val="21"/>
          <w:highlight w:val="none"/>
          <w14:textFill>
            <w14:solidFill>
              <w14:schemeClr w14:val="tx1"/>
            </w14:solidFill>
          </w14:textFill>
        </w:rPr>
        <w:t>有下列情况之一的，投标无效：</w:t>
      </w:r>
    </w:p>
    <w:p w14:paraId="58C11C71">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.2.1</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不具备招标文件中规定的资格要求的（</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未提供有效的资格文件的，视为</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不具备招标文件中规定的资格要求）；</w:t>
      </w:r>
    </w:p>
    <w:p w14:paraId="35644958">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.2.2投标文件未按照招标文件要求签署、盖章的；</w:t>
      </w:r>
    </w:p>
    <w:p w14:paraId="46A728D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.2.3</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拟采购的产品属于政府强制采购的节能产品品目清单范围的，</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未按招标文件要求提供国家确定的认证机构出具的、处于有效期之内的节能产品认证证书的；</w:t>
      </w:r>
    </w:p>
    <w:p w14:paraId="2DABE08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.2.4投标文件含有</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不能接受的附加条件的；</w:t>
      </w:r>
    </w:p>
    <w:p w14:paraId="146FA372">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.2.5投标文件中承诺的投标有效期少于招标文件中载明的投标有效期的；</w:t>
      </w:r>
    </w:p>
    <w:p w14:paraId="34E2FB96">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.2.6投标文件出现不是唯一的、有选择性投标报价的</w:t>
      </w:r>
      <w:r>
        <w:rPr>
          <w:rFonts w:hint="eastAsia" w:ascii="宋体" w:hAnsi="宋体" w:cs="宋体"/>
          <w:color w:val="000000" w:themeColor="text1"/>
          <w:kern w:val="0"/>
          <w:sz w:val="24"/>
          <w:highlight w:val="none"/>
          <w:lang w:eastAsia="zh-CN"/>
          <w14:textFill>
            <w14:solidFill>
              <w14:schemeClr w14:val="tx1"/>
            </w14:solidFill>
          </w14:textFill>
        </w:rPr>
        <w:t>；</w:t>
      </w:r>
    </w:p>
    <w:p w14:paraId="44110EA9">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.2.7投标报价超过招标文件中规定的预算金额或者最高限价的</w:t>
      </w:r>
      <w:r>
        <w:rPr>
          <w:rFonts w:hint="eastAsia" w:ascii="宋体" w:hAnsi="宋体" w:cs="宋体"/>
          <w:color w:val="000000" w:themeColor="text1"/>
          <w:kern w:val="0"/>
          <w:sz w:val="24"/>
          <w:highlight w:val="none"/>
          <w:lang w:eastAsia="zh-CN"/>
          <w14:textFill>
            <w14:solidFill>
              <w14:schemeClr w14:val="tx1"/>
            </w14:solidFill>
          </w14:textFill>
        </w:rPr>
        <w:t>；</w:t>
      </w:r>
    </w:p>
    <w:p w14:paraId="35010F8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.2.8报价明显低于其他通过符合性审查</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r>
        <w:rPr>
          <w:rFonts w:hint="eastAsia" w:ascii="宋体" w:hAnsi="宋体" w:cs="宋体"/>
          <w:color w:val="000000" w:themeColor="text1"/>
          <w:kern w:val="0"/>
          <w:sz w:val="24"/>
          <w:highlight w:val="none"/>
          <w:lang w:eastAsia="zh-CN"/>
          <w14:textFill>
            <w14:solidFill>
              <w14:schemeClr w14:val="tx1"/>
            </w14:solidFill>
          </w14:textFill>
        </w:rPr>
        <w:t>；</w:t>
      </w:r>
    </w:p>
    <w:p w14:paraId="11B8C1D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2.9</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对根据修正原则修正后的报价不确认的；</w:t>
      </w:r>
    </w:p>
    <w:p w14:paraId="32723AE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.2.10</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提供虚假材料投标的；</w:t>
      </w:r>
    </w:p>
    <w:p w14:paraId="58915B2B">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.2.11</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有恶意串通、妨碍其他</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的竞争行为、损害</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或者其他</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的合法权益情形的；</w:t>
      </w:r>
    </w:p>
    <w:p w14:paraId="53433960">
      <w:pPr>
        <w:pStyle w:val="2"/>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的其他</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实质性要求的；</w:t>
      </w:r>
    </w:p>
    <w:p w14:paraId="2571DE19">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.2.1</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法律法规</w:t>
      </w:r>
      <w:r>
        <w:rPr>
          <w:rFonts w:hint="eastAsia" w:ascii="宋体" w:hAnsi="宋体" w:eastAsia="宋体" w:cs="宋体"/>
          <w:color w:val="000000" w:themeColor="text1"/>
          <w:kern w:val="0"/>
          <w:sz w:val="24"/>
          <w:highlight w:val="none"/>
          <w14:textFill>
            <w14:solidFill>
              <w14:schemeClr w14:val="tx1"/>
            </w14:solidFill>
          </w14:textFill>
        </w:rPr>
        <w:t>、规章（适用本市的）及省级以上规范性文件（适用本市的）规定的其他无效情形。</w:t>
      </w:r>
    </w:p>
    <w:p w14:paraId="078482B1">
      <w:pPr>
        <w:pStyle w:val="29"/>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6.3</w:t>
      </w:r>
      <w:r>
        <w:rPr>
          <w:rFonts w:hint="eastAsia" w:ascii="宋体" w:hAnsi="宋体" w:eastAsia="宋体" w:cs="宋体"/>
          <w:b/>
          <w:color w:val="000000" w:themeColor="text1"/>
          <w:highlight w:val="none"/>
          <w14:textFill>
            <w14:solidFill>
              <w14:schemeClr w14:val="tx1"/>
            </w14:solidFill>
          </w14:textFill>
        </w:rPr>
        <w:t>.废标。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6E128FAE">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1符合专业条件的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或者对招标文件作实质响应的供应商不足3家的；</w:t>
      </w:r>
    </w:p>
    <w:p w14:paraId="3C4B6914">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2出现影响采购公正的违法、违规行为的；</w:t>
      </w:r>
    </w:p>
    <w:p w14:paraId="2A241E09">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的报价均超过了采购预算，</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不能支付的；</w:t>
      </w:r>
    </w:p>
    <w:p w14:paraId="1BF5A3FF">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4因重大变故，采购任务取消的。</w:t>
      </w:r>
    </w:p>
    <w:p w14:paraId="4B62F05D">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废标后，采购机构应当将废标理由通知所有</w:t>
      </w:r>
      <w:r>
        <w:rPr>
          <w:rFonts w:hint="eastAsia"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w:t>
      </w:r>
    </w:p>
    <w:p w14:paraId="10D6D110">
      <w:pPr>
        <w:pStyle w:val="29"/>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7</w:t>
      </w:r>
      <w:r>
        <w:rPr>
          <w:rFonts w:hint="eastAsia" w:ascii="宋体" w:hAnsi="宋体" w:eastAsia="宋体" w:cs="宋体"/>
          <w:b/>
          <w:color w:val="000000" w:themeColor="text1"/>
          <w:highlight w:val="none"/>
          <w14:textFill>
            <w14:solidFill>
              <w14:schemeClr w14:val="tx1"/>
            </w14:solidFill>
          </w14:textFill>
        </w:rPr>
        <w:t>.修改招标文件，重新组织采购活动。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、采购机构沟通并</w:t>
      </w:r>
      <w:r>
        <w:rPr>
          <w:rFonts w:hint="eastAsia" w:cs="宋体"/>
          <w:color w:val="000000" w:themeColor="text1"/>
          <w:highlight w:val="none"/>
          <w:lang w:eastAsia="zh-CN"/>
          <w14:textFill>
            <w14:solidFill>
              <w14:schemeClr w14:val="tx1"/>
            </w14:solidFill>
          </w14:textFill>
        </w:rPr>
        <w:t>做</w:t>
      </w:r>
      <w:r>
        <w:rPr>
          <w:rFonts w:hint="eastAsia" w:ascii="宋体" w:hAnsi="宋体" w:eastAsia="宋体" w:cs="宋体"/>
          <w:color w:val="000000" w:themeColor="text1"/>
          <w:highlight w:val="none"/>
          <w14:textFill>
            <w14:solidFill>
              <w14:schemeClr w14:val="tx1"/>
            </w14:solidFill>
          </w14:textFill>
        </w:rPr>
        <w:t>书面记录。</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、采购机构确认后，将修改招标文件，重新组织采购活动。</w:t>
      </w:r>
    </w:p>
    <w:p w14:paraId="385EFE08">
      <w:pPr>
        <w:pStyle w:val="29"/>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lang w:val="en-US" w:eastAsia="zh-CN"/>
          <w14:textFill>
            <w14:solidFill>
              <w14:schemeClr w14:val="tx1"/>
            </w14:solidFill>
          </w14:textFill>
        </w:rPr>
        <w:t>8</w:t>
      </w:r>
      <w:r>
        <w:rPr>
          <w:rFonts w:hint="eastAsia" w:ascii="宋体" w:hAnsi="宋体" w:eastAsia="宋体" w:cs="宋体"/>
          <w:b/>
          <w:color w:val="000000" w:themeColor="text1"/>
          <w:kern w:val="0"/>
          <w:highlight w:val="none"/>
          <w14:textFill>
            <w14:solidFill>
              <w14:schemeClr w14:val="tx1"/>
            </w14:solidFill>
          </w14:textFill>
        </w:rPr>
        <w:t>.重新开展采购。</w:t>
      </w:r>
      <w:r>
        <w:rPr>
          <w:rFonts w:hint="eastAsia" w:ascii="宋体" w:hAnsi="宋体" w:eastAsia="宋体" w:cs="宋体"/>
          <w:color w:val="000000" w:themeColor="text1"/>
          <w:highlight w:val="none"/>
          <w14:textFill>
            <w14:solidFill>
              <w14:schemeClr w14:val="tx1"/>
            </w14:solidFill>
          </w14:textFill>
        </w:rPr>
        <w:t>有采购法第七十一条、第七十二条规定的违法行为之一，影响或者可能影响中标、成交结果的，依照下列规定处理：</w:t>
      </w:r>
    </w:p>
    <w:p w14:paraId="65E5164C">
      <w:pPr>
        <w:pStyle w:val="29"/>
        <w:snapToGrid w:val="0"/>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.1未确定中标或者</w:t>
      </w:r>
      <w:r>
        <w:rPr>
          <w:rFonts w:hint="eastAsia"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的，终止本次采购活动，重新开展采购活动。</w:t>
      </w:r>
    </w:p>
    <w:p w14:paraId="76D268BE">
      <w:pPr>
        <w:pStyle w:val="29"/>
        <w:snapToGrid w:val="0"/>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.2已确定中标或者</w:t>
      </w:r>
      <w:r>
        <w:rPr>
          <w:rFonts w:hint="eastAsia"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但尚未签订采购合同的，中标或者成交结果无效，从合格的中标或者成交候选人中另行确定中标或者</w:t>
      </w:r>
      <w:r>
        <w:rPr>
          <w:rFonts w:hint="eastAsia"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；没有合格的中标或者成交候选人的，重新开展采购活动。</w:t>
      </w:r>
    </w:p>
    <w:p w14:paraId="0EA9D771">
      <w:pPr>
        <w:pStyle w:val="29"/>
        <w:snapToGrid w:val="0"/>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.3采购合同已签订但尚未履行的，撤销合同，从合格的中标或者成交候选人中另行确定中标或者</w:t>
      </w:r>
      <w:r>
        <w:rPr>
          <w:rFonts w:hint="eastAsia"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；没有合格的中标或者成交候选人的，重新开展采购活动。</w:t>
      </w:r>
    </w:p>
    <w:p w14:paraId="7C3CE5C1">
      <w:pPr>
        <w:pStyle w:val="29"/>
        <w:snapToGrid w:val="0"/>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采购合同已经履行，给</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kern w:val="0"/>
          <w:sz w:val="24"/>
          <w:highlight w:val="none"/>
          <w:lang w:val="en-US" w:eastAsia="zh-CN"/>
          <w14:textFill>
            <w14:solidFill>
              <w14:schemeClr w14:val="tx1"/>
            </w14:solidFill>
          </w14:textFill>
        </w:rPr>
        <w:t>中标</w:t>
      </w:r>
      <w:r>
        <w:rPr>
          <w:rFonts w:hint="eastAsia" w:ascii="宋体" w:hAnsi="宋体" w:cs="宋体"/>
          <w:color w:val="000000" w:themeColor="text1"/>
          <w:kern w:val="0"/>
          <w:sz w:val="24"/>
          <w:highlight w:val="none"/>
          <w:lang w:val="en-US" w:eastAsia="zh-CN"/>
          <w14:textFill>
            <w14:solidFill>
              <w14:schemeClr w14:val="tx1"/>
            </w14:solidFill>
          </w14:textFill>
        </w:rPr>
        <w:t>单位</w:t>
      </w:r>
      <w:r>
        <w:rPr>
          <w:rFonts w:hint="eastAsia" w:ascii="宋体" w:hAnsi="宋体" w:eastAsia="宋体" w:cs="宋体"/>
          <w:color w:val="000000" w:themeColor="text1"/>
          <w:highlight w:val="none"/>
          <w14:textFill>
            <w14:solidFill>
              <w14:schemeClr w14:val="tx1"/>
            </w14:solidFill>
          </w14:textFill>
        </w:rPr>
        <w:t>造成损失的，由责任人承担赔偿责任。</w:t>
      </w:r>
    </w:p>
    <w:p w14:paraId="1D3B759E">
      <w:pPr>
        <w:pStyle w:val="29"/>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.5采购当事人有其他违反采购法</w:t>
      </w:r>
      <w:r>
        <w:rPr>
          <w:rFonts w:hint="eastAsia" w:ascii="宋体" w:hAnsi="宋体" w:eastAsia="宋体" w:cs="宋体"/>
          <w:color w:val="000000" w:themeColor="text1"/>
          <w:kern w:val="0"/>
          <w:highlight w:val="none"/>
          <w14:textFill>
            <w14:solidFill>
              <w14:schemeClr w14:val="tx1"/>
            </w14:solidFill>
          </w14:textFill>
        </w:rPr>
        <w:t>或者采购法实施条例等法律法规规定</w:t>
      </w:r>
      <w:r>
        <w:rPr>
          <w:rFonts w:hint="eastAsia" w:ascii="宋体" w:hAnsi="宋体" w:eastAsia="宋体" w:cs="宋体"/>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p w14:paraId="19D8F5D4">
      <w:pPr>
        <w:pStyle w:val="29"/>
        <w:snapToGrid w:val="0"/>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bookmarkEnd w:id="23"/>
    <w:p w14:paraId="38A2E8B3">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94" w:name="第五部分"/>
      <w:bookmarkStart w:id="395" w:name="_Toc86217003"/>
    </w:p>
    <w:p w14:paraId="6B4869D8">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w:t>
      </w:r>
    </w:p>
    <w:p w14:paraId="0D8866B8">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3CB65D54">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p>
    <w:p w14:paraId="275D05B8">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1F0C8216">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6FD9757F">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039C6838">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3E4AB719">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0AC7B4A8">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490B5B19">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51292B09">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36B8143E">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61B8F1CF">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4FA17AA6">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3A9DE302">
      <w:pPr>
        <w:pStyle w:val="85"/>
        <w:rPr>
          <w:rFonts w:hint="eastAsia" w:ascii="宋体" w:hAnsi="宋体" w:eastAsia="宋体" w:cs="宋体"/>
          <w:b/>
          <w:color w:val="000000" w:themeColor="text1"/>
          <w:sz w:val="36"/>
          <w:szCs w:val="36"/>
          <w:highlight w:val="none"/>
          <w14:textFill>
            <w14:solidFill>
              <w14:schemeClr w14:val="tx1"/>
            </w14:solidFill>
          </w14:textFill>
        </w:rPr>
      </w:pPr>
    </w:p>
    <w:p w14:paraId="20FD388D">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5DCD83F7">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396CD4FF">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p>
    <w:p w14:paraId="30EB1DD2">
      <w:pPr>
        <w:spacing w:line="360" w:lineRule="auto"/>
        <w:outlineLvl w:val="0"/>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r>
        <w:rPr>
          <w:rFonts w:hint="eastAsia" w:ascii="宋体" w:hAnsi="宋体" w:cs="宋体"/>
          <w:b/>
          <w:color w:val="000000" w:themeColor="text1"/>
          <w:sz w:val="36"/>
          <w:szCs w:val="36"/>
          <w:highlight w:val="none"/>
          <w:lang w:eastAsia="zh-CN"/>
          <w14:textFill>
            <w14:solidFill>
              <w14:schemeClr w14:val="tx1"/>
            </w14:solidFill>
          </w14:textFill>
        </w:rPr>
        <w:t>（</w:t>
      </w:r>
      <w:r>
        <w:rPr>
          <w:rFonts w:hint="eastAsia" w:ascii="宋体" w:hAnsi="宋体" w:cs="宋体"/>
          <w:b/>
          <w:color w:val="000000" w:themeColor="text1"/>
          <w:sz w:val="36"/>
          <w:szCs w:val="36"/>
          <w:highlight w:val="none"/>
          <w:lang w:val="en-US" w:eastAsia="zh-CN"/>
          <w14:textFill>
            <w14:solidFill>
              <w14:schemeClr w14:val="tx1"/>
            </w14:solidFill>
          </w14:textFill>
        </w:rPr>
        <w:t>具体以合同签订为准</w:t>
      </w:r>
      <w:r>
        <w:rPr>
          <w:rFonts w:hint="eastAsia" w:ascii="宋体" w:hAnsi="宋体" w:cs="宋体"/>
          <w:b/>
          <w:color w:val="000000" w:themeColor="text1"/>
          <w:sz w:val="36"/>
          <w:szCs w:val="36"/>
          <w:highlight w:val="none"/>
          <w:lang w:eastAsia="zh-CN"/>
          <w14:textFill>
            <w14:solidFill>
              <w14:schemeClr w14:val="tx1"/>
            </w14:solidFill>
          </w14:textFill>
        </w:rPr>
        <w:t>）</w:t>
      </w:r>
    </w:p>
    <w:p w14:paraId="5097F91C">
      <w:pPr>
        <w:rPr>
          <w:rFonts w:hint="eastAsia" w:ascii="宋体" w:hAnsi="宋体" w:eastAsia="宋体" w:cs="宋体"/>
          <w:color w:val="000000" w:themeColor="text1"/>
          <w:sz w:val="24"/>
          <w:highlight w:val="none"/>
          <w14:textFill>
            <w14:solidFill>
              <w14:schemeClr w14:val="tx1"/>
            </w14:solidFill>
          </w14:textFill>
        </w:rPr>
      </w:pPr>
    </w:p>
    <w:p w14:paraId="17DC8C31">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6F5D654">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1425750A">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0F886BAD">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6EB588E4">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采购合同（</w:t>
      </w:r>
      <w:r>
        <w:rPr>
          <w:rFonts w:hint="eastAsia" w:ascii="宋体" w:hAnsi="宋体" w:cs="宋体"/>
          <w:b/>
          <w:color w:val="000000" w:themeColor="text1"/>
          <w:sz w:val="36"/>
          <w:szCs w:val="36"/>
          <w:highlight w:val="none"/>
          <w:lang w:val="en-US" w:eastAsia="zh-CN"/>
          <w14:textFill>
            <w14:solidFill>
              <w14:schemeClr w14:val="tx1"/>
            </w14:solidFill>
          </w14:textFill>
        </w:rPr>
        <w:t>服务</w:t>
      </w:r>
      <w:r>
        <w:rPr>
          <w:rFonts w:hint="eastAsia" w:ascii="宋体" w:hAnsi="宋体" w:eastAsia="宋体" w:cs="宋体"/>
          <w:b/>
          <w:color w:val="000000" w:themeColor="text1"/>
          <w:sz w:val="36"/>
          <w:szCs w:val="36"/>
          <w:highlight w:val="none"/>
          <w14:textFill>
            <w14:solidFill>
              <w14:schemeClr w14:val="tx1"/>
            </w14:solidFill>
          </w14:textFill>
        </w:rPr>
        <w:t>类）</w:t>
      </w:r>
    </w:p>
    <w:p w14:paraId="42AD1BCE">
      <w:pPr>
        <w:pStyle w:val="701"/>
        <w:rPr>
          <w:rFonts w:hint="eastAsia" w:ascii="宋体" w:hAnsi="宋体" w:eastAsia="宋体" w:cs="宋体"/>
          <w:color w:val="000000" w:themeColor="text1"/>
          <w:szCs w:val="24"/>
          <w:highlight w:val="none"/>
          <w14:textFill>
            <w14:solidFill>
              <w14:schemeClr w14:val="tx1"/>
            </w14:solidFill>
          </w14:textFill>
        </w:rPr>
      </w:pPr>
    </w:p>
    <w:p w14:paraId="0156FC74">
      <w:pPr>
        <w:pStyle w:val="701"/>
        <w:rPr>
          <w:rFonts w:hint="eastAsia" w:ascii="宋体" w:hAnsi="宋体" w:eastAsia="宋体" w:cs="宋体"/>
          <w:color w:val="000000" w:themeColor="text1"/>
          <w:szCs w:val="24"/>
          <w:highlight w:val="none"/>
          <w14:textFill>
            <w14:solidFill>
              <w14:schemeClr w14:val="tx1"/>
            </w14:solidFill>
          </w14:textFill>
        </w:rPr>
      </w:pPr>
    </w:p>
    <w:p w14:paraId="1C9E0F14">
      <w:pPr>
        <w:pStyle w:val="701"/>
        <w:jc w:val="center"/>
        <w:rPr>
          <w:rFonts w:hint="eastAsia" w:ascii="宋体" w:hAnsi="宋体" w:eastAsia="宋体" w:cs="宋体"/>
          <w:color w:val="000000" w:themeColor="text1"/>
          <w:szCs w:val="24"/>
          <w:highlight w:val="none"/>
          <w14:textFill>
            <w14:solidFill>
              <w14:schemeClr w14:val="tx1"/>
            </w14:solidFill>
          </w14:textFill>
        </w:rPr>
      </w:pPr>
    </w:p>
    <w:p w14:paraId="26F3D16B">
      <w:pPr>
        <w:pStyle w:val="701"/>
        <w:ind w:firstLine="2843" w:firstLineChars="11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第一部分 合同书</w:t>
      </w:r>
    </w:p>
    <w:p w14:paraId="607A3AC5">
      <w:pPr>
        <w:pStyle w:val="701"/>
        <w:rPr>
          <w:rFonts w:hint="eastAsia" w:ascii="宋体" w:hAnsi="宋体" w:eastAsia="宋体" w:cs="宋体"/>
          <w:color w:val="000000" w:themeColor="text1"/>
          <w:szCs w:val="24"/>
          <w:highlight w:val="none"/>
          <w14:textFill>
            <w14:solidFill>
              <w14:schemeClr w14:val="tx1"/>
            </w14:solidFill>
          </w14:textFill>
        </w:rPr>
      </w:pPr>
    </w:p>
    <w:p w14:paraId="39A3821A">
      <w:pPr>
        <w:pStyle w:val="701"/>
        <w:rPr>
          <w:rFonts w:hint="eastAsia" w:ascii="宋体" w:hAnsi="宋体" w:eastAsia="宋体" w:cs="宋体"/>
          <w:color w:val="000000" w:themeColor="text1"/>
          <w:szCs w:val="24"/>
          <w:highlight w:val="none"/>
          <w14:textFill>
            <w14:solidFill>
              <w14:schemeClr w14:val="tx1"/>
            </w14:solidFill>
          </w14:textFill>
        </w:rPr>
      </w:pPr>
    </w:p>
    <w:p w14:paraId="5809CBD8">
      <w:pPr>
        <w:pStyle w:val="29"/>
        <w:rPr>
          <w:rFonts w:hint="eastAsia" w:ascii="宋体" w:hAnsi="宋体" w:eastAsia="宋体" w:cs="宋体"/>
          <w:color w:val="000000" w:themeColor="text1"/>
          <w:szCs w:val="24"/>
          <w:highlight w:val="none"/>
          <w14:textFill>
            <w14:solidFill>
              <w14:schemeClr w14:val="tx1"/>
            </w14:solidFill>
          </w14:textFill>
        </w:rPr>
      </w:pPr>
    </w:p>
    <w:p w14:paraId="2A6BA14D">
      <w:pPr>
        <w:pStyle w:val="14"/>
        <w:rPr>
          <w:rFonts w:hint="eastAsia" w:ascii="宋体" w:hAnsi="宋体" w:eastAsia="宋体" w:cs="宋体"/>
          <w:color w:val="000000" w:themeColor="text1"/>
          <w:szCs w:val="24"/>
          <w:highlight w:val="none"/>
          <w14:textFill>
            <w14:solidFill>
              <w14:schemeClr w14:val="tx1"/>
            </w14:solidFill>
          </w14:textFill>
        </w:rPr>
      </w:pPr>
    </w:p>
    <w:p w14:paraId="5B027D15">
      <w:pPr>
        <w:pStyle w:val="3"/>
        <w:ind w:left="0" w:leftChars="0" w:firstLine="0" w:firstLineChars="0"/>
        <w:rPr>
          <w:rFonts w:hint="eastAsia"/>
          <w:color w:val="000000" w:themeColor="text1"/>
          <w:highlight w:val="none"/>
          <w14:textFill>
            <w14:solidFill>
              <w14:schemeClr w14:val="tx1"/>
            </w14:solidFill>
          </w14:textFill>
        </w:rPr>
      </w:pPr>
    </w:p>
    <w:p w14:paraId="19655E6E">
      <w:pPr>
        <w:spacing w:before="120" w:line="22" w:lineRule="atLeast"/>
        <w:ind w:left="9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57C9D54">
      <w:pPr>
        <w:rPr>
          <w:rFonts w:hint="eastAsia" w:ascii="宋体" w:hAnsi="宋体" w:eastAsia="宋体" w:cs="宋体"/>
          <w:color w:val="000000" w:themeColor="text1"/>
          <w:sz w:val="24"/>
          <w:highlight w:val="none"/>
          <w14:textFill>
            <w14:solidFill>
              <w14:schemeClr w14:val="tx1"/>
            </w14:solidFill>
          </w14:textFill>
        </w:rPr>
      </w:pPr>
    </w:p>
    <w:p w14:paraId="63C3DD0C">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28A0AB2">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37FFB7C0">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9BE9A88">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4CD91ADC">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DEB26D8">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4F083259">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01DE984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桐庐县青少年宫</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询价方式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2025年桐庐县青少年宫消防维保单位采购项目</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中标单位</w:t>
      </w:r>
      <w:r>
        <w:rPr>
          <w:rFonts w:hint="eastAsia" w:ascii="宋体" w:hAnsi="宋体" w:eastAsia="宋体" w:cs="宋体"/>
          <w:color w:val="000000" w:themeColor="text1"/>
          <w:sz w:val="24"/>
          <w:highlight w:val="none"/>
          <w:u w:val="single"/>
          <w14:textFill>
            <w14:solidFill>
              <w14:schemeClr w14:val="tx1"/>
            </w14:solidFill>
          </w14:textFill>
        </w:rPr>
        <w:t>名称）</w:t>
      </w:r>
      <w:r>
        <w:rPr>
          <w:rFonts w:hint="eastAsia" w:ascii="宋体" w:hAnsi="宋体" w:eastAsia="宋体" w:cs="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lang w:eastAsia="zh-CN"/>
          <w14:textFill>
            <w14:solidFill>
              <w14:schemeClr w14:val="tx1"/>
            </w14:solidFill>
          </w14:textFill>
        </w:rPr>
        <w:t>中标单位</w:t>
      </w:r>
      <w:r>
        <w:rPr>
          <w:rFonts w:hint="eastAsia" w:ascii="宋体" w:hAnsi="宋体" w:eastAsia="宋体" w:cs="宋体"/>
          <w:color w:val="000000" w:themeColor="text1"/>
          <w:sz w:val="24"/>
          <w:highlight w:val="none"/>
          <w14:textFill>
            <w14:solidFill>
              <w14:schemeClr w14:val="tx1"/>
            </w14:solidFill>
          </w14:textFill>
        </w:rPr>
        <w:t>。现于中标通知书发出之日起三十日内，按照采购文件确定的事项签订本合同。</w:t>
      </w:r>
    </w:p>
    <w:p w14:paraId="4E8FE2B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中华人民共和国政府采购法》等相关法律法规之规定，按照平等、自愿、公平、诚实信用和绿色的原则，经</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桐庐县青少年宫</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以下简称：甲方</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和</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中标单位</w:t>
      </w:r>
      <w:r>
        <w:rPr>
          <w:rFonts w:hint="eastAsia" w:ascii="宋体" w:hAnsi="宋体" w:eastAsia="宋体" w:cs="宋体"/>
          <w:color w:val="000000" w:themeColor="text1"/>
          <w:sz w:val="24"/>
          <w:highlight w:val="none"/>
          <w:u w:val="single"/>
          <w14:textFill>
            <w14:solidFill>
              <w14:schemeClr w14:val="tx1"/>
            </w14:solidFill>
          </w14:textFill>
        </w:rPr>
        <w:t xml:space="preserve">名称）   </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以下简称：乙方</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7BA21002">
      <w:pPr>
        <w:spacing w:line="560" w:lineRule="exact"/>
        <w:ind w:firstLine="482" w:firstLineChars="200"/>
        <w:outlineLvl w:val="0"/>
        <w:rPr>
          <w:rFonts w:hint="eastAsia" w:ascii="宋体" w:hAnsi="宋体" w:eastAsia="宋体" w:cs="宋体"/>
          <w:color w:val="000000" w:themeColor="text1"/>
          <w:sz w:val="24"/>
          <w:highlight w:val="none"/>
          <w14:textFill>
            <w14:solidFill>
              <w14:schemeClr w14:val="tx1"/>
            </w14:solidFill>
          </w14:textFill>
        </w:rPr>
      </w:pPr>
      <w:bookmarkStart w:id="396" w:name="_Toc15367"/>
      <w:bookmarkStart w:id="397" w:name="_Toc19273"/>
      <w:bookmarkStart w:id="398" w:name="_Toc22967"/>
      <w:bookmarkStart w:id="399" w:name="_Toc28855"/>
      <w:bookmarkStart w:id="400" w:name="_Toc20421"/>
      <w:bookmarkStart w:id="401" w:name="_Toc331685783"/>
      <w:r>
        <w:rPr>
          <w:rFonts w:hint="eastAsia" w:ascii="宋体" w:hAnsi="宋体" w:eastAsia="宋体" w:cs="宋体"/>
          <w:b/>
          <w:color w:val="000000" w:themeColor="text1"/>
          <w:sz w:val="24"/>
          <w:highlight w:val="none"/>
          <w14:textFill>
            <w14:solidFill>
              <w14:schemeClr w14:val="tx1"/>
            </w14:solidFill>
          </w14:textFill>
        </w:rPr>
        <w:t>1.1 合同组成部分</w:t>
      </w:r>
      <w:bookmarkEnd w:id="396"/>
      <w:bookmarkEnd w:id="397"/>
      <w:bookmarkEnd w:id="398"/>
      <w:bookmarkEnd w:id="399"/>
      <w:bookmarkEnd w:id="400"/>
    </w:p>
    <w:p w14:paraId="77F7760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000000" w:themeColor="text1"/>
          <w:sz w:val="24"/>
          <w:highlight w:val="none"/>
          <w:lang w:eastAsia="zh-CN"/>
          <w14:textFill>
            <w14:solidFill>
              <w14:schemeClr w14:val="tx1"/>
            </w14:solidFill>
          </w14:textFill>
        </w:rPr>
        <w:t>份文件</w:t>
      </w:r>
      <w:r>
        <w:rPr>
          <w:rFonts w:hint="eastAsia" w:ascii="宋体" w:hAnsi="宋体" w:eastAsia="宋体" w:cs="宋体"/>
          <w:color w:val="000000" w:themeColor="text1"/>
          <w:sz w:val="24"/>
          <w:highlight w:val="none"/>
          <w14:textFill>
            <w14:solidFill>
              <w14:schemeClr w14:val="tx1"/>
            </w14:solidFill>
          </w14:textFill>
        </w:rPr>
        <w:t>的优先适用顺序如下：</w:t>
      </w:r>
    </w:p>
    <w:p w14:paraId="153CBAE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40EB1BB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中标通知书；</w:t>
      </w:r>
    </w:p>
    <w:p w14:paraId="28EC48A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投标文件（含澄清或者说明文件）；</w:t>
      </w:r>
    </w:p>
    <w:p w14:paraId="33C2F13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招标文件（含澄清或者修改文件）；</w:t>
      </w:r>
    </w:p>
    <w:p w14:paraId="0A33495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68A5B49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2" w:name="_Toc18585"/>
      <w:bookmarkStart w:id="403" w:name="_Toc6311"/>
      <w:bookmarkStart w:id="404" w:name="_Toc22185"/>
      <w:bookmarkStart w:id="405" w:name="_Toc2918"/>
      <w:bookmarkStart w:id="406" w:name="_Toc6773"/>
      <w:r>
        <w:rPr>
          <w:rFonts w:hint="eastAsia" w:ascii="宋体" w:hAnsi="宋体" w:eastAsia="宋体" w:cs="宋体"/>
          <w:b/>
          <w:color w:val="000000" w:themeColor="text1"/>
          <w:sz w:val="24"/>
          <w:highlight w:val="none"/>
          <w14:textFill>
            <w14:solidFill>
              <w14:schemeClr w14:val="tx1"/>
            </w14:solidFill>
          </w14:textFill>
        </w:rPr>
        <w:t>1.2 标的</w:t>
      </w:r>
      <w:bookmarkEnd w:id="402"/>
      <w:bookmarkEnd w:id="403"/>
      <w:bookmarkEnd w:id="404"/>
      <w:bookmarkEnd w:id="405"/>
      <w:bookmarkEnd w:id="406"/>
    </w:p>
    <w:p w14:paraId="7CEC366B">
      <w:pPr>
        <w:keepNext w:val="0"/>
        <w:keepLines w:val="0"/>
        <w:pageBreakBefore w:val="0"/>
        <w:widowControl w:val="0"/>
        <w:shd w:val="clear"/>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bookmarkStart w:id="407" w:name="_Toc5635"/>
      <w:bookmarkStart w:id="408" w:name="_Toc21124"/>
      <w:bookmarkStart w:id="409" w:name="_Toc13918"/>
      <w:bookmarkStart w:id="410" w:name="_Toc4929"/>
      <w:bookmarkStart w:id="411" w:name="_Toc1386"/>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lang w:val="zh-CN" w:eastAsia="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项目内容：</w:t>
      </w:r>
      <w:r>
        <w:rPr>
          <w:rFonts w:hint="eastAsia" w:ascii="宋体" w:hAnsi="宋体" w:cs="宋体"/>
          <w:color w:val="000000" w:themeColor="text1"/>
          <w:kern w:val="0"/>
          <w:sz w:val="24"/>
          <w:highlight w:val="none"/>
          <w:lang w:val="en-US" w:eastAsia="zh-CN"/>
          <w14:textFill>
            <w14:solidFill>
              <w14:schemeClr w14:val="tx1"/>
            </w14:solidFill>
          </w14:textFill>
        </w:rPr>
        <w:t>2025年桐庐县青少年宫消防维保服务</w:t>
      </w:r>
      <w:r>
        <w:rPr>
          <w:rFonts w:hint="eastAsia" w:ascii="宋体" w:hAnsi="宋体" w:eastAsia="宋体" w:cs="宋体"/>
          <w:color w:val="000000" w:themeColor="text1"/>
          <w:kern w:val="0"/>
          <w:sz w:val="24"/>
          <w:highlight w:val="none"/>
          <w:lang w:val="zh-CN" w:eastAsia="zh-CN"/>
          <w14:textFill>
            <w14:solidFill>
              <w14:schemeClr w14:val="tx1"/>
            </w14:solidFill>
          </w14:textFill>
        </w:rPr>
        <w:t>。</w:t>
      </w:r>
    </w:p>
    <w:p w14:paraId="548D8CC9">
      <w:pPr>
        <w:keepNext w:val="0"/>
        <w:keepLines w:val="0"/>
        <w:pageBreakBefore w:val="0"/>
        <w:widowControl w:val="0"/>
        <w:shd w:val="clear"/>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cs="宋体"/>
          <w:b w:val="0"/>
          <w:bCs/>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lang w:val="zh-CN" w:eastAsia="zh-CN"/>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eastAsia="zh-CN"/>
          <w14:textFill>
            <w14:solidFill>
              <w14:schemeClr w14:val="tx1"/>
            </w14:solidFill>
          </w14:textFill>
        </w:rPr>
        <w:t>服务期：</w:t>
      </w:r>
      <w:r>
        <w:rPr>
          <w:rFonts w:hint="eastAsia" w:ascii="宋体" w:hAnsi="宋体" w:cs="宋体"/>
          <w:color w:val="000000" w:themeColor="text1"/>
          <w:kern w:val="0"/>
          <w:sz w:val="24"/>
          <w:highlight w:val="none"/>
          <w:lang w:val="zh-CN" w:eastAsia="zh-CN"/>
          <w14:textFill>
            <w14:solidFill>
              <w14:schemeClr w14:val="tx1"/>
            </w14:solidFill>
          </w14:textFill>
        </w:rPr>
        <w:t>一年</w:t>
      </w:r>
      <w:r>
        <w:rPr>
          <w:rFonts w:hint="eastAsia" w:ascii="宋体" w:hAnsi="宋体" w:eastAsia="宋体" w:cs="宋体"/>
          <w:color w:val="000000" w:themeColor="text1"/>
          <w:kern w:val="0"/>
          <w:sz w:val="24"/>
          <w:highlight w:val="none"/>
          <w:lang w:val="zh-CN" w:eastAsia="zh-CN"/>
          <w14:textFill>
            <w14:solidFill>
              <w14:schemeClr w14:val="tx1"/>
            </w14:solidFill>
          </w14:textFill>
        </w:rPr>
        <w:t>，</w:t>
      </w:r>
      <w:r>
        <w:rPr>
          <w:rFonts w:hint="eastAsia" w:ascii="宋体" w:hAnsi="宋体" w:eastAsia="宋体" w:cs="宋体"/>
          <w:b w:val="0"/>
          <w:bCs/>
          <w:color w:val="000000" w:themeColor="text1"/>
          <w:sz w:val="24"/>
          <w:highlight w:val="none"/>
          <w:lang w:val="zh-CN" w:eastAsia="zh-CN"/>
          <w14:textFill>
            <w14:solidFill>
              <w14:schemeClr w14:val="tx1"/>
            </w14:solidFill>
          </w14:textFill>
        </w:rPr>
        <w:t>具体起止时间</w:t>
      </w:r>
      <w:r>
        <w:rPr>
          <w:rFonts w:hint="eastAsia" w:ascii="宋体" w:hAnsi="宋体" w:cs="宋体"/>
          <w:b w:val="0"/>
          <w:bCs/>
          <w:color w:val="000000" w:themeColor="text1"/>
          <w:sz w:val="24"/>
          <w:highlight w:val="none"/>
          <w:lang w:val="en-US" w:eastAsia="zh-CN"/>
          <w14:textFill>
            <w14:solidFill>
              <w14:schemeClr w14:val="tx1"/>
            </w14:solidFill>
          </w14:textFill>
        </w:rPr>
        <w:t>以合同签订为准</w:t>
      </w:r>
      <w:r>
        <w:rPr>
          <w:rFonts w:hint="eastAsia" w:ascii="宋体" w:hAnsi="宋体" w:cs="宋体"/>
          <w:b w:val="0"/>
          <w:bCs/>
          <w:color w:val="000000" w:themeColor="text1"/>
          <w:sz w:val="24"/>
          <w:highlight w:val="none"/>
          <w:lang w:val="zh-CN" w:eastAsia="zh-CN"/>
          <w14:textFill>
            <w14:solidFill>
              <w14:schemeClr w14:val="tx1"/>
            </w14:solidFill>
          </w14:textFill>
        </w:rPr>
        <w:t>。</w:t>
      </w:r>
    </w:p>
    <w:p w14:paraId="067EC797">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lang w:val="zh-CN" w:eastAsia="zh-CN"/>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eastAsia="zh-CN"/>
          <w14:textFill>
            <w14:solidFill>
              <w14:schemeClr w14:val="tx1"/>
            </w14:solidFill>
          </w14:textFill>
        </w:rPr>
        <w:t>服务地点：桐庐县青少年宫（</w:t>
      </w:r>
      <w:r>
        <w:rPr>
          <w:rFonts w:hint="eastAsia" w:ascii="宋体" w:hAnsi="宋体" w:eastAsia="宋体" w:cs="宋体"/>
          <w:color w:val="000000" w:themeColor="text1"/>
          <w:kern w:val="0"/>
          <w:sz w:val="24"/>
          <w:highlight w:val="none"/>
          <w:lang w:val="en-US" w:eastAsia="zh-CN"/>
          <w14:textFill>
            <w14:solidFill>
              <w14:schemeClr w14:val="tx1"/>
            </w14:solidFill>
          </w14:textFill>
        </w:rPr>
        <w:t>桐庐县城南街道白云源路1588号</w:t>
      </w:r>
      <w:r>
        <w:rPr>
          <w:rFonts w:hint="eastAsia" w:ascii="宋体" w:hAnsi="宋体" w:eastAsia="宋体" w:cs="宋体"/>
          <w:color w:val="000000" w:themeColor="text1"/>
          <w:kern w:val="0"/>
          <w:sz w:val="24"/>
          <w:highlight w:val="none"/>
          <w:lang w:val="zh-CN" w:eastAsia="zh-CN"/>
          <w14:textFill>
            <w14:solidFill>
              <w14:schemeClr w14:val="tx1"/>
            </w14:solidFill>
          </w14:textFill>
        </w:rPr>
        <w:t>）</w:t>
      </w:r>
    </w:p>
    <w:p w14:paraId="33946D0A">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eastAsia" w:ascii="宋体" w:hAnsi="宋体" w:eastAsia="宋体" w:cs="宋体"/>
          <w:color w:val="000000" w:themeColor="text1"/>
          <w:kern w:val="0"/>
          <w:sz w:val="24"/>
          <w:highlight w:val="none"/>
          <w:lang w:val="zh-CN" w:eastAsia="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eastAsia="zh-CN"/>
          <w14:textFill>
            <w14:solidFill>
              <w14:schemeClr w14:val="tx1"/>
            </w14:solidFill>
          </w14:textFill>
        </w:rPr>
        <w:t>现场条件</w:t>
      </w:r>
    </w:p>
    <w:p w14:paraId="10D2D109">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1.2.4.1</w:t>
      </w:r>
      <w:r>
        <w:rPr>
          <w:rFonts w:hint="eastAsia" w:ascii="宋体" w:hAnsi="宋体" w:eastAsia="宋体" w:cs="宋体"/>
          <w:color w:val="000000" w:themeColor="text1"/>
          <w:kern w:val="0"/>
          <w:sz w:val="24"/>
          <w:highlight w:val="none"/>
          <w:lang w:val="zh-CN" w:eastAsia="zh-CN"/>
          <w14:textFill>
            <w14:solidFill>
              <w14:schemeClr w14:val="tx1"/>
            </w14:solidFill>
          </w14:textFill>
        </w:rPr>
        <w:t>已具备实施条件，但实施不能影响</w:t>
      </w:r>
      <w:r>
        <w:rPr>
          <w:rFonts w:hint="eastAsia" w:ascii="宋体" w:hAnsi="宋体" w:eastAsia="宋体" w:cs="宋体"/>
          <w:color w:val="000000" w:themeColor="text1"/>
          <w:kern w:val="0"/>
          <w:sz w:val="24"/>
          <w:highlight w:val="none"/>
          <w:lang w:val="en-US" w:eastAsia="zh-CN"/>
          <w14:textFill>
            <w14:solidFill>
              <w14:schemeClr w14:val="tx1"/>
            </w14:solidFill>
          </w14:textFill>
        </w:rPr>
        <w:t>桐庐县青少年宫</w:t>
      </w:r>
      <w:r>
        <w:rPr>
          <w:rFonts w:hint="eastAsia" w:ascii="宋体" w:hAnsi="宋体" w:eastAsia="宋体" w:cs="宋体"/>
          <w:color w:val="000000" w:themeColor="text1"/>
          <w:kern w:val="0"/>
          <w:sz w:val="24"/>
          <w:highlight w:val="none"/>
          <w:lang w:val="zh-CN" w:eastAsia="zh-CN"/>
          <w14:textFill>
            <w14:solidFill>
              <w14:schemeClr w14:val="tx1"/>
            </w14:solidFill>
          </w14:textFill>
        </w:rPr>
        <w:t>正常工作。</w:t>
      </w:r>
    </w:p>
    <w:p w14:paraId="2BD94AA2">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000000" w:themeColor="text1"/>
          <w:kern w:val="0"/>
          <w:sz w:val="24"/>
          <w:highlight w:val="none"/>
          <w:lang w:val="zh-CN"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1.2.4.2</w:t>
      </w:r>
      <w:r>
        <w:rPr>
          <w:rFonts w:hint="eastAsia" w:ascii="宋体" w:hAnsi="宋体" w:eastAsia="宋体" w:cs="宋体"/>
          <w:color w:val="000000" w:themeColor="text1"/>
          <w:kern w:val="0"/>
          <w:sz w:val="24"/>
          <w:highlight w:val="none"/>
          <w:lang w:val="zh-CN" w:eastAsia="zh-CN"/>
          <w14:textFill>
            <w14:solidFill>
              <w14:schemeClr w14:val="tx1"/>
            </w14:solidFill>
          </w14:textFill>
        </w:rPr>
        <w:t>采购单位不组织现场踏勘，</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zh-CN" w:eastAsia="zh-CN"/>
          <w14:textFill>
            <w14:solidFill>
              <w14:schemeClr w14:val="tx1"/>
            </w14:solidFill>
          </w14:textFill>
        </w:rPr>
        <w:t>应自行对现场和周围环境进行踏勘和了解，并充分考虑影响本次报价的因素、预计实施过程中各种不利因素，由此可能发生的费用均由</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zh-CN" w:eastAsia="zh-CN"/>
          <w14:textFill>
            <w14:solidFill>
              <w14:schemeClr w14:val="tx1"/>
            </w14:solidFill>
          </w14:textFill>
        </w:rPr>
        <w:t>考虑并包含在报价中。</w:t>
      </w:r>
      <w:r>
        <w:rPr>
          <w:rFonts w:hint="eastAsia" w:ascii="宋体" w:hAnsi="宋体" w:eastAsia="宋体" w:cs="宋体"/>
          <w:color w:val="000000" w:themeColor="text1"/>
          <w:kern w:val="0"/>
          <w:sz w:val="24"/>
          <w:highlight w:val="none"/>
          <w:lang w:val="en-US" w:eastAsia="zh-CN"/>
          <w14:textFill>
            <w14:solidFill>
              <w14:schemeClr w14:val="tx1"/>
            </w14:solidFill>
          </w14:textFill>
        </w:rPr>
        <w:t>中标</w:t>
      </w:r>
      <w:r>
        <w:rPr>
          <w:rFonts w:hint="eastAsia" w:ascii="宋体" w:hAnsi="宋体" w:eastAsia="宋体" w:cs="宋体"/>
          <w:color w:val="000000" w:themeColor="text1"/>
          <w:kern w:val="0"/>
          <w:sz w:val="24"/>
          <w:highlight w:val="none"/>
          <w:lang w:val="zh-CN" w:eastAsia="zh-CN"/>
          <w14:textFill>
            <w14:solidFill>
              <w14:schemeClr w14:val="tx1"/>
            </w14:solidFill>
          </w14:textFill>
        </w:rPr>
        <w:t>成交后，供应商不得再以不完全了解现场情况等为理由而提出额外付款或延长交货期等的要求，若有此类要求，采购单位将不做任何答复与考虑，供应商应承担现场踏勘的责任和风险，踏勘现场的费用由</w:t>
      </w:r>
      <w:r>
        <w:rPr>
          <w:rFonts w:hint="eastAsia" w:ascii="宋体" w:hAnsi="宋体" w:eastAsia="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zh-CN" w:eastAsia="zh-CN"/>
          <w14:textFill>
            <w14:solidFill>
              <w14:schemeClr w14:val="tx1"/>
            </w14:solidFill>
          </w14:textFill>
        </w:rPr>
        <w:t>自行承担。</w:t>
      </w:r>
    </w:p>
    <w:bookmarkEnd w:id="407"/>
    <w:bookmarkEnd w:id="408"/>
    <w:bookmarkEnd w:id="409"/>
    <w:bookmarkEnd w:id="410"/>
    <w:bookmarkEnd w:id="411"/>
    <w:p w14:paraId="3B38A8D5">
      <w:pPr>
        <w:keepNext w:val="0"/>
        <w:keepLines w:val="0"/>
        <w:pageBreakBefore w:val="0"/>
        <w:widowControl w:val="0"/>
        <w:kinsoku/>
        <w:wordWrap/>
        <w:overflowPunct/>
        <w:topLinePunct w:val="0"/>
        <w:autoSpaceDE/>
        <w:autoSpaceDN/>
        <w:bidi w:val="0"/>
        <w:adjustRightInd w:val="0"/>
        <w:snapToGrid/>
        <w:spacing w:after="157" w:afterLines="50" w:line="560" w:lineRule="exact"/>
        <w:ind w:firstLine="482" w:firstLineChars="200"/>
        <w:textAlignment w:val="auto"/>
        <w:outlineLvl w:val="0"/>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1.3 合同金额</w:t>
      </w:r>
    </w:p>
    <w:p w14:paraId="3AC1214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本合同总价为：￥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222B22EE">
      <w:pPr>
        <w:keepNext w:val="0"/>
        <w:keepLines w:val="0"/>
        <w:pageBreakBefore w:val="0"/>
        <w:widowControl w:val="0"/>
        <w:kinsoku/>
        <w:wordWrap/>
        <w:overflowPunct/>
        <w:topLinePunct w:val="0"/>
        <w:autoSpaceDE/>
        <w:autoSpaceDN/>
        <w:bidi w:val="0"/>
        <w:adjustRightInd w:val="0"/>
        <w:snapToGrid/>
        <w:spacing w:before="157" w:beforeLines="50" w:after="313" w:afterLines="100" w:line="560" w:lineRule="exact"/>
        <w:ind w:firstLine="482" w:firstLineChars="200"/>
        <w:textAlignment w:val="auto"/>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1.4 服务期</w:t>
      </w:r>
    </w:p>
    <w:p w14:paraId="3D65B3C4">
      <w:pPr>
        <w:pStyle w:val="80"/>
        <w:ind w:firstLine="480" w:firstLineChars="200"/>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本项目服务期为：一年（自</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2025</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年</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月</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日至</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2026</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年</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月</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日止）</w:t>
      </w:r>
    </w:p>
    <w:p w14:paraId="19E515C9">
      <w:pPr>
        <w:keepNext w:val="0"/>
        <w:keepLines w:val="0"/>
        <w:pageBreakBefore w:val="0"/>
        <w:widowControl w:val="0"/>
        <w:kinsoku/>
        <w:wordWrap/>
        <w:overflowPunct/>
        <w:topLinePunct w:val="0"/>
        <w:autoSpaceDE/>
        <w:autoSpaceDN/>
        <w:bidi w:val="0"/>
        <w:adjustRightInd w:val="0"/>
        <w:snapToGrid/>
        <w:spacing w:before="157" w:beforeLines="50" w:after="157" w:afterLines="50" w:line="560" w:lineRule="exact"/>
        <w:ind w:firstLine="482" w:firstLineChars="200"/>
        <w:textAlignment w:val="auto"/>
        <w:outlineLvl w:val="0"/>
        <w:rPr>
          <w:rFonts w:hint="eastAsia" w:ascii="宋体" w:hAnsi="宋体" w:eastAsia="宋体" w:cs="宋体"/>
          <w:b/>
          <w:color w:val="000000" w:themeColor="text1"/>
          <w:sz w:val="24"/>
          <w:highlight w:val="none"/>
          <w14:textFill>
            <w14:solidFill>
              <w14:schemeClr w14:val="tx1"/>
            </w14:solidFill>
          </w14:textFill>
        </w:rPr>
      </w:pPr>
      <w:bookmarkStart w:id="412" w:name="_Toc30158"/>
      <w:bookmarkStart w:id="413" w:name="_Toc14993"/>
      <w:bookmarkStart w:id="414" w:name="_Toc30506"/>
      <w:bookmarkStart w:id="415" w:name="_Toc26916"/>
      <w:bookmarkStart w:id="416" w:name="_Toc3654"/>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eastAsia="宋体" w:cs="宋体"/>
          <w:b/>
          <w:color w:val="000000" w:themeColor="text1"/>
          <w:sz w:val="24"/>
          <w:highlight w:val="none"/>
          <w14:textFill>
            <w14:solidFill>
              <w14:schemeClr w14:val="tx1"/>
            </w14:solidFill>
          </w14:textFill>
        </w:rPr>
        <w:t xml:space="preserve"> 付款方式</w:t>
      </w:r>
      <w:bookmarkEnd w:id="412"/>
      <w:bookmarkEnd w:id="413"/>
      <w:bookmarkEnd w:id="414"/>
      <w:bookmarkEnd w:id="415"/>
      <w:bookmarkEnd w:id="416"/>
    </w:p>
    <w:p w14:paraId="235FC026">
      <w:pPr>
        <w:keepNext w:val="0"/>
        <w:keepLines w:val="0"/>
        <w:pageBreakBefore w:val="0"/>
        <w:widowControl w:val="0"/>
        <w:kinsoku/>
        <w:wordWrap/>
        <w:overflowPunct/>
        <w:topLinePunct w:val="0"/>
        <w:autoSpaceDE/>
        <w:autoSpaceDN/>
        <w:bidi w:val="0"/>
        <w:adjustRightInd w:val="0"/>
        <w:snapToGrid w:val="0"/>
        <w:spacing w:before="0" w:beforeLines="50" w:after="0" w:line="432" w:lineRule="auto"/>
        <w:ind w:firstLine="480" w:firstLineChars="200"/>
        <w:textAlignment w:val="auto"/>
        <w:rPr>
          <w:rFonts w:hint="eastAsia" w:ascii="宋体" w:hAnsi="宋体" w:cs="宋体"/>
          <w:color w:val="000000" w:themeColor="text1"/>
          <w:kern w:val="0"/>
          <w:sz w:val="24"/>
          <w:highlight w:val="none"/>
          <w:lang w:val="en-US" w:eastAsia="zh-CN"/>
          <w14:textFill>
            <w14:solidFill>
              <w14:schemeClr w14:val="tx1"/>
            </w14:solidFill>
          </w14:textFill>
        </w:rPr>
      </w:pPr>
      <w:bookmarkStart w:id="417" w:name="_Toc11108"/>
      <w:bookmarkStart w:id="418" w:name="_Toc8772"/>
      <w:bookmarkStart w:id="419" w:name="_Toc31421"/>
      <w:bookmarkStart w:id="420" w:name="_Toc3625"/>
      <w:bookmarkStart w:id="421" w:name="_Toc4760"/>
      <w:r>
        <w:rPr>
          <w:rFonts w:hint="eastAsia" w:ascii="宋体" w:hAnsi="宋体" w:cs="宋体"/>
          <w:color w:val="000000" w:themeColor="text1"/>
          <w:kern w:val="0"/>
          <w:sz w:val="24"/>
          <w:highlight w:val="none"/>
          <w:lang w:val="en-US" w:eastAsia="zh-CN"/>
          <w14:textFill>
            <w14:solidFill>
              <w14:schemeClr w14:val="tx1"/>
            </w14:solidFill>
          </w14:textFill>
        </w:rPr>
        <w:t>每年度服务期满，经采购单位验收及考核通过后15个工作日内一次性支付合同款；若考核不合格，采购单位有权取消合同。</w:t>
      </w:r>
    </w:p>
    <w:p w14:paraId="1DDAE622">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（注：消防维保工作考核标准详见附件）</w:t>
      </w:r>
    </w:p>
    <w:p w14:paraId="3F76A4ED">
      <w:pPr>
        <w:keepNext w:val="0"/>
        <w:keepLines w:val="0"/>
        <w:pageBreakBefore w:val="0"/>
        <w:widowControl w:val="0"/>
        <w:kinsoku/>
        <w:wordWrap/>
        <w:overflowPunct/>
        <w:topLinePunct w:val="0"/>
        <w:autoSpaceDE/>
        <w:autoSpaceDN/>
        <w:bidi w:val="0"/>
        <w:adjustRightInd w:val="0"/>
        <w:snapToGrid/>
        <w:spacing w:before="157" w:beforeLines="50" w:after="313" w:afterLines="100" w:line="360" w:lineRule="auto"/>
        <w:ind w:firstLine="482" w:firstLineChars="200"/>
        <w:textAlignment w:val="auto"/>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eastAsia="宋体" w:cs="宋体"/>
          <w:b/>
          <w:color w:val="000000" w:themeColor="text1"/>
          <w:sz w:val="24"/>
          <w:highlight w:val="none"/>
          <w14:textFill>
            <w14:solidFill>
              <w14:schemeClr w14:val="tx1"/>
            </w14:solidFill>
          </w14:textFill>
        </w:rPr>
        <w:t xml:space="preserve"> </w:t>
      </w:r>
      <w:bookmarkEnd w:id="417"/>
      <w:bookmarkEnd w:id="418"/>
      <w:bookmarkEnd w:id="419"/>
      <w:bookmarkEnd w:id="420"/>
      <w:bookmarkEnd w:id="421"/>
      <w:r>
        <w:rPr>
          <w:rFonts w:hint="eastAsia" w:ascii="宋体" w:hAnsi="宋体" w:eastAsia="宋体" w:cs="宋体"/>
          <w:b/>
          <w:color w:val="000000" w:themeColor="text1"/>
          <w:sz w:val="24"/>
          <w:highlight w:val="none"/>
          <w:lang w:val="en-US" w:eastAsia="zh-CN"/>
          <w14:textFill>
            <w14:solidFill>
              <w14:schemeClr w14:val="tx1"/>
            </w14:solidFill>
          </w14:textFill>
        </w:rPr>
        <w:t>消防维保清单</w:t>
      </w:r>
    </w:p>
    <w:tbl>
      <w:tblPr>
        <w:tblStyle w:val="62"/>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5"/>
        <w:gridCol w:w="2309"/>
        <w:gridCol w:w="3979"/>
        <w:gridCol w:w="778"/>
      </w:tblGrid>
      <w:tr w14:paraId="2D4A6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0BE5">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检查保养项目及内容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B87E6">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保养</w:t>
            </w:r>
          </w:p>
          <w:p w14:paraId="7FB95445">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周期</w:t>
            </w:r>
          </w:p>
        </w:tc>
      </w:tr>
      <w:tr w14:paraId="5EAF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906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消防供配电设施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11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消防配电柜（箱）</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D876ED">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试验主、备电切换功能；消防电源主、备电源供电能力测试</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80F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3321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A1B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53E2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联动实验</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50141">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试验非消防电源的联动切断功能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BD2ED">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6D666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4D0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火灾自动报警系统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2B35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火灾探测器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70F8F">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6336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66FB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08515">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A86AC">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手动报警按钮</w:t>
            </w:r>
          </w:p>
        </w:tc>
        <w:tc>
          <w:tcPr>
            <w:tcW w:w="3979" w:type="dxa"/>
            <w:tcBorders>
              <w:top w:val="nil"/>
              <w:left w:val="nil"/>
              <w:bottom w:val="nil"/>
              <w:right w:val="nil"/>
            </w:tcBorders>
            <w:shd w:val="clear" w:color="auto" w:fill="auto"/>
            <w:noWrap/>
            <w:vAlign w:val="bottom"/>
          </w:tcPr>
          <w:p w14:paraId="305205EF">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BC9EB">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59A0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5CC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1ED7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监管装置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E44F2">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试验监管装置报警功能，屏蔽信息显示功能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0E78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0497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EE06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210E1">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警报装置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D5CC4">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试验警报功能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3448A">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664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6AA49">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675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报警控制器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A56098">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试验火警报警、故障报警、火警优先、打印机打印、自检、消音等功能，火灾显示盘和CRT显示屏的报警、显示功能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1A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5EEA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C9D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187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消防联动控制器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ADD137">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试验联动控制器及控制模块的手动、自动联动控制功能，试验控制器显示功能，试验电源部分主、备电源切换功能，备用电源充、放电功能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1E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2C35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D89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消防供水设施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44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消防水池</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03F437">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核对储水量、自动进水阀进水功能，液位检测装置报警功能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BC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275E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7496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83B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消防水箱</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FBF">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核对储水量、自动进水阀进水功能、模拟消防水箱出水，测试消防水箱供水能力、液位检测装置报警功能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E8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69580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4B8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D7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稳（增）压泵及气压水罐</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2C92C">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模拟系统渗漏，测试稳压泵、增压泵及气压水罐稳压、增压能力，自动启泵、停泵及联动启动主泵的压力工况，主、备泵切换功能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4F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14CB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1405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8BA0B">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消防水泵及控制柜</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130EF">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试验手动/自动启泵功能和主、备泵切换功能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C5E0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2FF8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0295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1E05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水泵接合器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1FA9E">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外观及附件完整情况，标识。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EC30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145C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2A7D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02A7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阀门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51440">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试验控制阀门启闭功能、减压装置减压功能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F9F3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3C7F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75E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消火栓（消防炮）灭火系统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CB8C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室内消火栓</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E0191">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试验屋顶消火栓出水压力、静压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A897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1504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AD71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288E0">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消防水喉（自救卷盘）</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2D2B">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射水实验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8AA65">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3619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48A0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B48C5">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消火栓按钮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AE08C">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试验信号反馈功能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4700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5E58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7D64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E3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76553D">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自动方式下，分别利用远距离启泵按钮、消防联动控制盘控制按钮启动消防水泵，测试最不利点消火栓（消防炮）出水压力；具有火灾探测控制功能的消防炮系统，应模拟自动启动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D5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5713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4DB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自动喷水灭火系统</w:t>
            </w:r>
          </w:p>
        </w:tc>
        <w:tc>
          <w:tcPr>
            <w:tcW w:w="2309" w:type="dxa"/>
            <w:tcBorders>
              <w:top w:val="nil"/>
              <w:left w:val="nil"/>
              <w:bottom w:val="nil"/>
              <w:right w:val="nil"/>
            </w:tcBorders>
            <w:shd w:val="clear" w:color="auto" w:fill="auto"/>
            <w:noWrap/>
            <w:vAlign w:val="center"/>
          </w:tcPr>
          <w:p w14:paraId="56CA08F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报警阀组</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E39FBB">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试验报警阀组试验排放阀排水功能，压力开关、水力警铃报警功能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3B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季</w:t>
            </w:r>
          </w:p>
        </w:tc>
      </w:tr>
      <w:tr w14:paraId="7B00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CA900">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48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末端试水装置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752FE7">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试验末端放水测试工作压力、水流指示器、压力开关动作信号、水质情况，楼层末端试验阀功能试验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3F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季</w:t>
            </w:r>
          </w:p>
        </w:tc>
      </w:tr>
      <w:tr w14:paraId="4F28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01CD4">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E38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探测、报警装置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91A273">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测试火灾探测传动装置的火灾探测及控制功能、手动控制装置控制功能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DE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2403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5E41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4D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7B71">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在系统末端放水或排气，进行系统联动功能试验，测试水流指示器、联动控制功能应模拟系统自动启动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D0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694C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01F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机械加压送风系统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EB277">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送风口</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1E6F8">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测试手动/自动开启功能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B2AC3">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半年</w:t>
            </w:r>
          </w:p>
        </w:tc>
      </w:tr>
      <w:tr w14:paraId="4761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F0AB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FE60D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送风机</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EB7E4">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测试手动/自动启动、停止功能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4585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季</w:t>
            </w:r>
          </w:p>
        </w:tc>
      </w:tr>
      <w:tr w14:paraId="59FB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F24D">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8E3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送风量、风速、风压</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42FD50">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测试最大负荷状态下，系统送风量、风速、风压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33E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15724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A5FEF">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615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42B468">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通过报警联动，检查防火阀、送风自动开启和启动功能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35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6DDC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4C70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机械排烟系统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FA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排烟阀、电动排烟阀、排烟防火阀</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CE4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测试排烟阀、排烟防火阀手动/自动开启功能，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48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半年</w:t>
            </w:r>
          </w:p>
        </w:tc>
      </w:tr>
      <w:tr w14:paraId="763A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02C6">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7719B">
            <w:pPr>
              <w:keepNext w:val="0"/>
              <w:keepLines w:val="0"/>
              <w:widowControl/>
              <w:suppressLineNumbers w:val="0"/>
              <w:jc w:val="center"/>
              <w:textAlignment w:val="bottom"/>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自动排烟窗、排</w:t>
            </w:r>
          </w:p>
          <w:p w14:paraId="7892F1C2">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烟风机、活动挡烟垂壁</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9E8C">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测试手动/自动启动、排烟防火阀联动停止功能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22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季</w:t>
            </w:r>
          </w:p>
        </w:tc>
      </w:tr>
      <w:tr w14:paraId="5CAA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108BB">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41C4D">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排烟风量、风速</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111EE">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测试最大负荷状态下，系统排烟风量、风速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C60DF">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775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25F8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03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C42472">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通过报警联动，检查电动挡烟垂壁、电动排烟阀、电动排烟窗的功能，检查排烟风机的性能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C0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552E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1D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应急照明系统</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39BD12">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切断正常供电，测量应急灯具照度、电源切换、充电、放电功能；测试应急电源供电时间；通过报警联动，检查应急灯具自动投入功能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4C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r w14:paraId="2614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069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应急广播系统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7285D">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扬声器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51006">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测量音量、音质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9355E">
            <w:pPr>
              <w:keepNext w:val="0"/>
              <w:keepLines w:val="0"/>
              <w:widowControl/>
              <w:suppressLineNumbers w:val="0"/>
              <w:jc w:val="center"/>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772D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EE937">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69A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功放、卡座、分配盘</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987703">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测试卡座的播音、录音功能，测试功放的扩音功能，测试分配盘的选层广播功能，测试合用广播系统应急强制切换功能，测试主、备扩音机切换功能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62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5873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A73D8">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C8D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5F97F3">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通过报警联动，检查合用广播系统应急强制切换功能、扬声器播音质量及音量，卡座录音功能，分配盘分区及选层广播功能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E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2827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B1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消防专用电话</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BBFE8">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测试消防电话主机与电话分机、插扎电话之间通话质量：电话主机录音功能；拨打</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119</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77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057E1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4A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防火分隔</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B3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E0C84">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试验非电动防火门的启闭功能及密封性能，测试电动防火门自动、现场释放功能及信号反馈功能，通过报警联动，检查电动防火门释放功能、喷水冷却装置的联动启动功能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31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1803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E2AE">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F7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防火卷帘</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E270">
            <w:pPr>
              <w:keepNext w:val="0"/>
              <w:keepLines w:val="0"/>
              <w:widowControl/>
              <w:suppressLineNumbers w:val="0"/>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试验防火卷帘的手动、机械应急和自动控制功能、信号反馈功能、封闭性能，通过报警联动，检查防火卷帘门自动释放功能及喷水冷却装置的联动启动功能，测试有延时功能的防火卷帘的延时时间、声光指示</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202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年</w:t>
            </w:r>
          </w:p>
        </w:tc>
      </w:tr>
      <w:tr w14:paraId="692FC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3A9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灭火器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E68557">
            <w:pPr>
              <w:keepNext w:val="0"/>
              <w:keepLines w:val="0"/>
              <w:widowControl/>
              <w:suppressLineNumbers w:val="0"/>
              <w:jc w:val="left"/>
              <w:textAlignment w:val="bottom"/>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核对选型、压力和有效期对同批次的灭火器随机抽取一定数量进行灭火、喷射等</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性能试验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F4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月</w:t>
            </w:r>
          </w:p>
        </w:tc>
      </w:tr>
    </w:tbl>
    <w:p w14:paraId="5F0BB656">
      <w:pPr>
        <w:pStyle w:val="80"/>
        <w:rPr>
          <w:rFonts w:hint="eastAsia"/>
          <w:color w:val="000000" w:themeColor="text1"/>
          <w:highlight w:val="none"/>
          <w:lang w:val="en-US" w:eastAsia="zh-CN"/>
          <w14:textFill>
            <w14:solidFill>
              <w14:schemeClr w14:val="tx1"/>
            </w14:solidFill>
          </w14:textFill>
        </w:rPr>
      </w:pPr>
    </w:p>
    <w:p w14:paraId="61BF0690">
      <w:pPr>
        <w:rPr>
          <w:rFonts w:hint="eastAsia" w:eastAsia="宋体"/>
          <w:b/>
          <w:bCs/>
          <w:color w:val="000000" w:themeColor="text1"/>
          <w:sz w:val="28"/>
          <w:szCs w:val="36"/>
          <w:highlight w:val="none"/>
          <w:lang w:val="en-US" w:eastAsia="zh-CN"/>
          <w14:textFill>
            <w14:solidFill>
              <w14:schemeClr w14:val="tx1"/>
            </w14:solidFill>
          </w14:textFill>
        </w:rPr>
      </w:pPr>
      <w:r>
        <w:rPr>
          <w:rFonts w:hint="eastAsia"/>
          <w:b/>
          <w:bCs/>
          <w:color w:val="000000" w:themeColor="text1"/>
          <w:sz w:val="28"/>
          <w:szCs w:val="36"/>
          <w:highlight w:val="none"/>
          <w:lang w:val="en-US" w:eastAsia="zh-CN"/>
          <w14:textFill>
            <w14:solidFill>
              <w14:schemeClr w14:val="tx1"/>
            </w14:solidFill>
          </w14:textFill>
        </w:rPr>
        <w:t>注：年度维保结束前需出具一份桐庐县青少年宫的消防设施检测报告。桐庐县青少年宫消防维保内容包括但不限于以上内容，最终消防维保内容以采购人实际要求为准。</w:t>
      </w:r>
    </w:p>
    <w:p w14:paraId="02AADF43">
      <w:pPr>
        <w:keepNext w:val="0"/>
        <w:keepLines w:val="0"/>
        <w:pageBreakBefore w:val="0"/>
        <w:widowControl w:val="0"/>
        <w:kinsoku/>
        <w:wordWrap/>
        <w:overflowPunct/>
        <w:topLinePunct w:val="0"/>
        <w:autoSpaceDE/>
        <w:autoSpaceDN/>
        <w:bidi w:val="0"/>
        <w:adjustRightInd w:val="0"/>
        <w:snapToGrid/>
        <w:spacing w:after="313" w:afterLines="100" w:line="560" w:lineRule="exact"/>
        <w:ind w:firstLine="482" w:firstLineChars="200"/>
        <w:textAlignment w:val="auto"/>
        <w:outlineLvl w:val="0"/>
        <w:rPr>
          <w:rFonts w:hint="eastAsia" w:ascii="宋体" w:hAnsi="宋体" w:eastAsia="宋体" w:cs="宋体"/>
          <w:b/>
          <w:color w:val="000000" w:themeColor="text1"/>
          <w:sz w:val="24"/>
          <w:highlight w:val="none"/>
          <w:lang w:val="en-US" w:eastAsia="zh-CN"/>
          <w14:textFill>
            <w14:solidFill>
              <w14:schemeClr w14:val="tx1"/>
            </w14:solidFill>
          </w14:textFill>
        </w:rPr>
      </w:pPr>
      <w:bookmarkStart w:id="422" w:name="_Toc2375"/>
      <w:bookmarkStart w:id="423" w:name="_Toc8586"/>
      <w:bookmarkStart w:id="424" w:name="_Toc5698"/>
      <w:bookmarkStart w:id="425" w:name="_Toc3079"/>
      <w:bookmarkStart w:id="426" w:name="_Toc24662"/>
      <w:r>
        <w:rPr>
          <w:rFonts w:hint="eastAsia" w:ascii="宋体" w:hAnsi="宋体" w:eastAsia="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eastAsia="宋体" w:cs="宋体"/>
          <w:b/>
          <w:color w:val="000000" w:themeColor="text1"/>
          <w:sz w:val="24"/>
          <w:highlight w:val="none"/>
          <w:lang w:val="en-US" w:eastAsia="zh-CN"/>
          <w14:textFill>
            <w14:solidFill>
              <w14:schemeClr w14:val="tx1"/>
            </w14:solidFill>
          </w14:textFill>
        </w:rPr>
        <w:t>安全协议</w:t>
      </w:r>
    </w:p>
    <w:p w14:paraId="30E747E3">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1.7.</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4"/>
          <w:highlight w:val="none"/>
          <w:lang w:val="en-US" w:eastAsia="zh-CN"/>
          <w14:textFill>
            <w14:solidFill>
              <w14:schemeClr w14:val="tx1"/>
            </w14:solidFill>
          </w14:textFill>
        </w:rPr>
        <w:t>应负责其下属人员所有操作及管理人员的安全培训，如发生任何安全事故（人身安全及设备安全事故），应由</w:t>
      </w:r>
      <w:r>
        <w:rPr>
          <w:rFonts w:hint="eastAsia" w:ascii="宋体" w:hAnsi="宋体" w:cs="宋体"/>
          <w:color w:val="000000" w:themeColor="text1"/>
          <w:kern w:val="0"/>
          <w:sz w:val="24"/>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4"/>
          <w:highlight w:val="none"/>
          <w:lang w:val="en-US" w:eastAsia="zh-CN"/>
          <w14:textFill>
            <w14:solidFill>
              <w14:schemeClr w14:val="tx1"/>
            </w14:solidFill>
          </w14:textFill>
        </w:rPr>
        <w:t>负责，与</w:t>
      </w:r>
      <w:r>
        <w:rPr>
          <w:rFonts w:hint="eastAsia" w:ascii="宋体" w:hAnsi="宋体" w:cs="宋体"/>
          <w:color w:val="000000" w:themeColor="text1"/>
          <w:kern w:val="0"/>
          <w:sz w:val="24"/>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4"/>
          <w:highlight w:val="none"/>
          <w:lang w:val="en-US" w:eastAsia="zh-CN"/>
          <w14:textFill>
            <w14:solidFill>
              <w14:schemeClr w14:val="tx1"/>
            </w14:solidFill>
          </w14:textFill>
        </w:rPr>
        <w:t>无关。</w:t>
      </w:r>
    </w:p>
    <w:p w14:paraId="29DDB7B9">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1.7.</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4"/>
          <w:highlight w:val="none"/>
          <w:lang w:val="en-US" w:eastAsia="zh-CN"/>
          <w14:textFill>
            <w14:solidFill>
              <w14:schemeClr w14:val="tx1"/>
            </w14:solidFill>
          </w14:textFill>
        </w:rPr>
        <w:t>必须按规定办理有关保险。</w:t>
      </w:r>
      <w:r>
        <w:rPr>
          <w:rFonts w:hint="eastAsia" w:ascii="宋体" w:hAnsi="宋体" w:cs="宋体"/>
          <w:color w:val="000000" w:themeColor="text1"/>
          <w:kern w:val="0"/>
          <w:sz w:val="24"/>
          <w:highlight w:val="none"/>
          <w:lang w:val="en-US" w:eastAsia="zh-CN"/>
          <w14:textFill>
            <w14:solidFill>
              <w14:schemeClr w14:val="tx1"/>
            </w14:solidFill>
          </w14:textFill>
        </w:rPr>
        <w:t>乙方</w:t>
      </w:r>
      <w:r>
        <w:rPr>
          <w:rFonts w:hint="eastAsia" w:ascii="宋体" w:hAnsi="宋体" w:eastAsia="宋体" w:cs="宋体"/>
          <w:color w:val="000000" w:themeColor="text1"/>
          <w:kern w:val="0"/>
          <w:sz w:val="24"/>
          <w:highlight w:val="none"/>
          <w:lang w:val="en-US" w:eastAsia="zh-CN"/>
          <w14:textFill>
            <w14:solidFill>
              <w14:schemeClr w14:val="tx1"/>
            </w14:solidFill>
          </w14:textFill>
        </w:rPr>
        <w:t>应自行承担合同履行过程中的安全生产责任，如有任何人身意外伤害责任，均与</w:t>
      </w:r>
      <w:r>
        <w:rPr>
          <w:rFonts w:hint="eastAsia" w:ascii="宋体" w:hAnsi="宋体" w:cs="宋体"/>
          <w:color w:val="000000" w:themeColor="text1"/>
          <w:kern w:val="0"/>
          <w:sz w:val="24"/>
          <w:highlight w:val="none"/>
          <w:lang w:val="en-US" w:eastAsia="zh-CN"/>
          <w14:textFill>
            <w14:solidFill>
              <w14:schemeClr w14:val="tx1"/>
            </w14:solidFill>
          </w14:textFill>
        </w:rPr>
        <w:t>甲方</w:t>
      </w:r>
      <w:r>
        <w:rPr>
          <w:rFonts w:hint="eastAsia" w:ascii="宋体" w:hAnsi="宋体" w:eastAsia="宋体" w:cs="宋体"/>
          <w:color w:val="000000" w:themeColor="text1"/>
          <w:kern w:val="0"/>
          <w:sz w:val="24"/>
          <w:highlight w:val="none"/>
          <w:lang w:val="en-US" w:eastAsia="zh-CN"/>
          <w14:textFill>
            <w14:solidFill>
              <w14:schemeClr w14:val="tx1"/>
            </w14:solidFill>
          </w14:textFill>
        </w:rPr>
        <w:t>无关。</w:t>
      </w:r>
    </w:p>
    <w:p w14:paraId="24B7F68E">
      <w:pPr>
        <w:spacing w:line="560" w:lineRule="exact"/>
        <w:ind w:firstLine="482" w:firstLineChars="200"/>
        <w:outlineLvl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8</w:t>
      </w:r>
      <w:r>
        <w:rPr>
          <w:rFonts w:hint="eastAsia" w:ascii="宋体" w:hAnsi="宋体" w:eastAsia="宋体" w:cs="宋体"/>
          <w:b/>
          <w:color w:val="000000" w:themeColor="text1"/>
          <w:sz w:val="24"/>
          <w:highlight w:val="none"/>
          <w14:textFill>
            <w14:solidFill>
              <w14:schemeClr w14:val="tx1"/>
            </w14:solidFill>
          </w14:textFill>
        </w:rPr>
        <w:t>违约责任</w:t>
      </w:r>
      <w:bookmarkEnd w:id="422"/>
      <w:bookmarkEnd w:id="423"/>
      <w:bookmarkEnd w:id="424"/>
      <w:bookmarkEnd w:id="425"/>
      <w:bookmarkEnd w:id="426"/>
    </w:p>
    <w:p w14:paraId="76B3723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1DB42B2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5534F1E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E8B1F8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026101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9A568C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.6 如果出现采购监督管理部门在处理投诉事项期间，书面通知甲方暂停采购活动的情形，或者询问或质疑事项可能影响中标结果的，导致甲方中止履行合同的情形，均不视为甲方违约；</w:t>
      </w:r>
    </w:p>
    <w:p w14:paraId="38DF77E4">
      <w:pPr>
        <w:spacing w:line="560" w:lineRule="exact"/>
        <w:ind w:left="-420" w:leftChars="-200" w:right="-420" w:rightChars="-200" w:firstLine="72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.7违约责任另有约定的，从其约定。</w:t>
      </w:r>
    </w:p>
    <w:p w14:paraId="7197A30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27" w:name="_Toc30329"/>
      <w:bookmarkStart w:id="428" w:name="_Toc32454"/>
      <w:bookmarkStart w:id="429" w:name="_Toc26807"/>
      <w:bookmarkStart w:id="430" w:name="_Toc18683"/>
      <w:bookmarkStart w:id="431" w:name="_Toc9497"/>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eastAsia="宋体" w:cs="宋体"/>
          <w:b/>
          <w:color w:val="000000" w:themeColor="text1"/>
          <w:sz w:val="24"/>
          <w:highlight w:val="none"/>
          <w14:textFill>
            <w14:solidFill>
              <w14:schemeClr w14:val="tx1"/>
            </w14:solidFill>
          </w14:textFill>
        </w:rPr>
        <w:t xml:space="preserve"> 合同争议的解决</w:t>
      </w:r>
      <w:bookmarkEnd w:id="427"/>
      <w:bookmarkEnd w:id="428"/>
      <w:bookmarkEnd w:id="429"/>
      <w:bookmarkEnd w:id="430"/>
      <w:bookmarkEnd w:id="431"/>
    </w:p>
    <w:p w14:paraId="3925890E">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本合同履行过程中发生的任何争议，双方当事人均可通过和解或者调解解决；不愿和解、调解或者和解、调解不成的，可以选择向</w:t>
      </w:r>
      <w:r>
        <w:rPr>
          <w:rFonts w:hint="eastAsia" w:ascii="宋体" w:hAnsi="宋体" w:eastAsia="宋体" w:cs="宋体"/>
          <w:color w:val="000000" w:themeColor="text1"/>
          <w:sz w:val="24"/>
          <w:highlight w:val="none"/>
          <w:lang w:eastAsia="zh-CN"/>
          <w14:textFill>
            <w14:solidFill>
              <w14:schemeClr w14:val="tx1"/>
            </w14:solidFill>
          </w14:textFill>
        </w:rPr>
        <w:t>桐庐县</w:t>
      </w:r>
      <w:r>
        <w:rPr>
          <w:rFonts w:hint="eastAsia" w:ascii="宋体" w:hAnsi="宋体" w:eastAsia="宋体" w:cs="宋体"/>
          <w:color w:val="000000" w:themeColor="text1"/>
          <w:sz w:val="24"/>
          <w:highlight w:val="none"/>
          <w14:textFill>
            <w14:solidFill>
              <w14:schemeClr w14:val="tx1"/>
            </w14:solidFill>
          </w14:textFill>
        </w:rPr>
        <w:t>人民法院起诉。</w:t>
      </w:r>
    </w:p>
    <w:p w14:paraId="34848309">
      <w:pPr>
        <w:spacing w:line="560" w:lineRule="exact"/>
        <w:ind w:firstLine="241" w:firstLineChars="100"/>
        <w:outlineLvl w:val="0"/>
        <w:rPr>
          <w:rFonts w:hint="eastAsia" w:ascii="宋体" w:hAnsi="宋体" w:eastAsia="宋体" w:cs="宋体"/>
          <w:b/>
          <w:color w:val="000000" w:themeColor="text1"/>
          <w:sz w:val="24"/>
          <w:highlight w:val="none"/>
          <w14:textFill>
            <w14:solidFill>
              <w14:schemeClr w14:val="tx1"/>
            </w14:solidFill>
          </w14:textFill>
        </w:rPr>
      </w:pPr>
      <w:bookmarkStart w:id="432" w:name="_Toc26227"/>
      <w:bookmarkStart w:id="433" w:name="_Toc23784"/>
      <w:bookmarkStart w:id="434" w:name="_Toc12273"/>
      <w:bookmarkStart w:id="435" w:name="_Toc15827"/>
      <w:bookmarkStart w:id="436" w:name="_Toc16417"/>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10</w:t>
      </w:r>
      <w:r>
        <w:rPr>
          <w:rFonts w:hint="eastAsia" w:ascii="宋体" w:hAnsi="宋体" w:eastAsia="宋体" w:cs="宋体"/>
          <w:b/>
          <w:color w:val="000000" w:themeColor="text1"/>
          <w:sz w:val="24"/>
          <w:highlight w:val="none"/>
          <w14:textFill>
            <w14:solidFill>
              <w14:schemeClr w14:val="tx1"/>
            </w14:solidFill>
          </w14:textFill>
        </w:rPr>
        <w:t xml:space="preserve"> 合同生效</w:t>
      </w:r>
      <w:bookmarkEnd w:id="432"/>
      <w:bookmarkEnd w:id="433"/>
      <w:bookmarkEnd w:id="434"/>
      <w:bookmarkEnd w:id="435"/>
      <w:bookmarkEnd w:id="436"/>
    </w:p>
    <w:p w14:paraId="76153B6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本合同自双方当事人盖章或者签字时生效。</w:t>
      </w:r>
    </w:p>
    <w:p w14:paraId="0781ABE4">
      <w:pPr>
        <w:tabs>
          <w:tab w:val="left" w:pos="868"/>
        </w:tabs>
        <w:spacing w:line="560" w:lineRule="exact"/>
        <w:ind w:firstLine="241" w:firstLineChars="1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11</w:t>
      </w:r>
      <w:r>
        <w:rPr>
          <w:rFonts w:hint="eastAsia" w:ascii="宋体" w:hAnsi="宋体" w:eastAsia="宋体" w:cs="宋体"/>
          <w:b/>
          <w:color w:val="000000" w:themeColor="text1"/>
          <w:sz w:val="24"/>
          <w:highlight w:val="none"/>
          <w14:textFill>
            <w14:solidFill>
              <w14:schemeClr w14:val="tx1"/>
            </w14:solidFill>
          </w14:textFill>
        </w:rPr>
        <w:t>合同份数</w:t>
      </w:r>
    </w:p>
    <w:p w14:paraId="5D30A86A">
      <w:pPr>
        <w:spacing w:line="560" w:lineRule="exact"/>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本合同正本一式</w:t>
      </w:r>
      <w:r>
        <w:rPr>
          <w:rFonts w:hint="eastAsia" w:ascii="宋体" w:hAnsi="宋体" w:eastAsia="宋体" w:cs="宋体"/>
          <w:color w:val="000000" w:themeColor="text1"/>
          <w:sz w:val="24"/>
          <w:highlight w:val="none"/>
          <w:lang w:eastAsia="zh-CN"/>
          <w14:textFill>
            <w14:solidFill>
              <w14:schemeClr w14:val="tx1"/>
            </w14:solidFill>
          </w14:textFill>
        </w:rPr>
        <w:t>陆</w:t>
      </w:r>
      <w:r>
        <w:rPr>
          <w:rFonts w:hint="eastAsia" w:ascii="宋体" w:hAnsi="宋体" w:eastAsia="宋体" w:cs="宋体"/>
          <w:color w:val="000000" w:themeColor="text1"/>
          <w:sz w:val="24"/>
          <w:highlight w:val="none"/>
          <w14:textFill>
            <w14:solidFill>
              <w14:schemeClr w14:val="tx1"/>
            </w14:solidFill>
          </w14:textFill>
        </w:rPr>
        <w:t>份，每份均具有同等法律效力，甲方执</w:t>
      </w:r>
      <w:r>
        <w:rPr>
          <w:rFonts w:hint="eastAsia" w:ascii="宋体" w:hAnsi="宋体" w:eastAsia="宋体" w:cs="宋体"/>
          <w:color w:val="000000" w:themeColor="text1"/>
          <w:sz w:val="24"/>
          <w:highlight w:val="none"/>
          <w:lang w:eastAsia="zh-CN"/>
          <w14:textFill>
            <w14:solidFill>
              <w14:schemeClr w14:val="tx1"/>
            </w14:solidFill>
          </w14:textFill>
        </w:rPr>
        <w:t>贰</w:t>
      </w:r>
      <w:r>
        <w:rPr>
          <w:rFonts w:hint="eastAsia" w:ascii="宋体" w:hAnsi="宋体" w:eastAsia="宋体" w:cs="宋体"/>
          <w:color w:val="000000" w:themeColor="text1"/>
          <w:sz w:val="24"/>
          <w:highlight w:val="none"/>
          <w14:textFill>
            <w14:solidFill>
              <w14:schemeClr w14:val="tx1"/>
            </w14:solidFill>
          </w14:textFill>
        </w:rPr>
        <w:t>份，乙方执贰份，代理公司存档贰份。</w:t>
      </w:r>
    </w:p>
    <w:p w14:paraId="7F46ABF7">
      <w:pPr>
        <w:pStyle w:val="7"/>
        <w:rPr>
          <w:rFonts w:hint="eastAsia" w:ascii="宋体" w:hAnsi="宋体" w:eastAsia="宋体" w:cs="宋体"/>
          <w:color w:val="000000" w:themeColor="text1"/>
          <w:highlight w:val="none"/>
          <w:lang w:val="zh-CN"/>
          <w14:textFill>
            <w14:solidFill>
              <w14:schemeClr w14:val="tx1"/>
            </w14:solidFill>
          </w14:textFill>
        </w:rPr>
      </w:pPr>
    </w:p>
    <w:p w14:paraId="6851B6FF">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b/>
          <w:color w:val="000000" w:themeColor="text1"/>
          <w:sz w:val="24"/>
          <w:highlight w:val="none"/>
          <w:lang w:val="en-US" w:eastAsia="zh-CN"/>
          <w14:textFill>
            <w14:solidFill>
              <w14:schemeClr w14:val="tx1"/>
            </w14:solidFill>
          </w14:textFill>
        </w:rPr>
        <w:t>盖章</w:t>
      </w:r>
      <w:r>
        <w:rPr>
          <w:rFonts w:hint="eastAsia" w:ascii="宋体" w:hAnsi="宋体" w:eastAsia="宋体" w:cs="宋体"/>
          <w:b/>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乙方（</w:t>
      </w:r>
      <w:r>
        <w:rPr>
          <w:rFonts w:hint="eastAsia" w:ascii="宋体" w:hAnsi="宋体" w:eastAsia="宋体" w:cs="宋体"/>
          <w:b/>
          <w:color w:val="000000" w:themeColor="text1"/>
          <w:sz w:val="24"/>
          <w:highlight w:val="none"/>
          <w:lang w:val="en-US" w:eastAsia="zh-CN"/>
          <w14:textFill>
            <w14:solidFill>
              <w14:schemeClr w14:val="tx1"/>
            </w14:solidFill>
          </w14:textFill>
        </w:rPr>
        <w:t>盖章</w:t>
      </w:r>
      <w:r>
        <w:rPr>
          <w:rFonts w:hint="eastAsia" w:ascii="宋体" w:hAnsi="宋体" w:eastAsia="宋体" w:cs="宋体"/>
          <w:b/>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w:t>
      </w:r>
    </w:p>
    <w:p w14:paraId="39A99BB0">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w:t>
      </w:r>
    </w:p>
    <w:p w14:paraId="32D7CA69">
      <w:pPr>
        <w:pStyle w:val="2"/>
        <w:rPr>
          <w:rFonts w:hint="eastAsia"/>
          <w:color w:val="000000" w:themeColor="text1"/>
          <w:highlight w:val="none"/>
          <w:lang w:val="zh-CN"/>
          <w14:textFill>
            <w14:solidFill>
              <w14:schemeClr w14:val="tx1"/>
            </w14:solidFill>
          </w14:textFill>
        </w:rPr>
      </w:pPr>
    </w:p>
    <w:p w14:paraId="67DDCBB9">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法定代表人或</w:t>
      </w:r>
    </w:p>
    <w:p w14:paraId="2F4D4B1C">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授权代表（签字）：                       授权代表（签字）</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7AEE6329">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129E7237">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电话</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电话</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680FF9D9">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w:t>
      </w:r>
      <w:r>
        <w:rPr>
          <w:rFonts w:hint="eastAsia" w:ascii="宋体" w:hAnsi="宋体" w:eastAsia="宋体" w:cs="宋体"/>
          <w:color w:val="000000" w:themeColor="text1"/>
          <w:sz w:val="24"/>
          <w:highlight w:val="none"/>
          <w:lang w:val="zh-CN"/>
          <w14:textFill>
            <w14:solidFill>
              <w14:schemeClr w14:val="tx1"/>
            </w14:solidFill>
          </w14:textFill>
        </w:rPr>
        <w:t xml:space="preserve">  开户银行： </w:t>
      </w:r>
    </w:p>
    <w:p w14:paraId="5E12C8EE">
      <w:pPr>
        <w:autoSpaceDE w:val="0"/>
        <w:autoSpaceDN w:val="0"/>
        <w:spacing w:line="560" w:lineRule="exac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开户名称：                               开户名称：</w:t>
      </w:r>
    </w:p>
    <w:p w14:paraId="3D7B86DF">
      <w:pPr>
        <w:autoSpaceDE w:val="0"/>
        <w:autoSpaceDN w:val="0"/>
        <w:spacing w:line="560" w:lineRule="exact"/>
        <w:rPr>
          <w:rFonts w:hint="eastAsia" w:ascii="宋体" w:hAnsi="宋体" w:eastAsia="宋体" w:cs="宋体"/>
          <w:b/>
          <w:sz w:val="36"/>
          <w:szCs w:val="20"/>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7A932C5E">
      <w:pPr>
        <w:pStyle w:val="81"/>
        <w:ind w:left="0" w:leftChars="0" w:firstLine="0" w:firstLineChars="0"/>
        <w:rPr>
          <w:rFonts w:hint="eastAsia"/>
          <w:color w:val="000000" w:themeColor="text1"/>
          <w:highlight w:val="none"/>
          <w14:textFill>
            <w14:solidFill>
              <w14:schemeClr w14:val="tx1"/>
            </w14:solidFill>
          </w14:textFill>
        </w:rPr>
      </w:pPr>
    </w:p>
    <w:p w14:paraId="3EF8C244">
      <w:pPr>
        <w:rPr>
          <w:rFonts w:hint="eastAsia" w:ascii="宋体" w:hAnsi="宋体" w:eastAsia="宋体" w:cs="宋体"/>
          <w:b/>
          <w:color w:val="000000" w:themeColor="text1"/>
          <w:sz w:val="24"/>
          <w:highlight w:val="none"/>
          <w14:textFill>
            <w14:solidFill>
              <w14:schemeClr w14:val="tx1"/>
            </w14:solidFill>
          </w14:textFill>
        </w:rPr>
      </w:pPr>
    </w:p>
    <w:p w14:paraId="342FD901">
      <w:pPr>
        <w:pStyle w:val="80"/>
        <w:rPr>
          <w:rFonts w:hint="eastAsia" w:ascii="宋体" w:hAnsi="宋体" w:eastAsia="宋体" w:cs="宋体"/>
          <w:b/>
          <w:color w:val="000000" w:themeColor="text1"/>
          <w:sz w:val="24"/>
          <w:highlight w:val="none"/>
          <w14:textFill>
            <w14:solidFill>
              <w14:schemeClr w14:val="tx1"/>
            </w14:solidFill>
          </w14:textFill>
        </w:rPr>
      </w:pPr>
    </w:p>
    <w:p w14:paraId="0F048F8F">
      <w:pPr>
        <w:pStyle w:val="80"/>
        <w:rPr>
          <w:rFonts w:hint="eastAsia" w:ascii="宋体" w:hAnsi="宋体" w:eastAsia="宋体" w:cs="宋体"/>
          <w:b/>
          <w:color w:val="000000" w:themeColor="text1"/>
          <w:sz w:val="24"/>
          <w:highlight w:val="none"/>
          <w14:textFill>
            <w14:solidFill>
              <w14:schemeClr w14:val="tx1"/>
            </w14:solidFill>
          </w14:textFill>
        </w:rPr>
      </w:pPr>
    </w:p>
    <w:p w14:paraId="795CB5A9">
      <w:pPr>
        <w:pStyle w:val="80"/>
        <w:rPr>
          <w:rFonts w:hint="eastAsia" w:ascii="宋体" w:hAnsi="宋体" w:eastAsia="宋体" w:cs="宋体"/>
          <w:b/>
          <w:color w:val="000000" w:themeColor="text1"/>
          <w:sz w:val="24"/>
          <w:highlight w:val="none"/>
          <w14:textFill>
            <w14:solidFill>
              <w14:schemeClr w14:val="tx1"/>
            </w14:solidFill>
          </w14:textFill>
        </w:rPr>
      </w:pPr>
    </w:p>
    <w:bookmarkEnd w:id="401"/>
    <w:p w14:paraId="0FE3E884">
      <w:pPr>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4"/>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135CC3B5">
      <w:pPr>
        <w:pStyle w:val="964"/>
        <w:tabs>
          <w:tab w:val="center" w:pos="4535"/>
        </w:tabs>
        <w:ind w:left="0"/>
        <w:jc w:val="left"/>
        <w:outlineLvl w:val="1"/>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1、外包装封面格式：</w:t>
      </w:r>
      <w:r>
        <w:rPr>
          <w:rFonts w:hint="eastAsia" w:ascii="宋体" w:hAnsi="宋体" w:eastAsia="宋体" w:cs="宋体"/>
          <w:color w:val="000000" w:themeColor="text1"/>
          <w:sz w:val="36"/>
          <w:szCs w:val="36"/>
          <w:highlight w:val="none"/>
          <w14:textFill>
            <w14:solidFill>
              <w14:schemeClr w14:val="tx1"/>
            </w14:solidFill>
          </w14:textFill>
        </w:rPr>
        <w:tab/>
      </w:r>
    </w:p>
    <w:p w14:paraId="1CDA7352">
      <w:pPr>
        <w:pStyle w:val="964"/>
        <w:tabs>
          <w:tab w:val="center" w:pos="4535"/>
        </w:tabs>
        <w:ind w:left="0"/>
        <w:outlineLvl w:val="1"/>
        <w:rPr>
          <w:rFonts w:hint="eastAsia" w:ascii="宋体" w:hAnsi="宋体" w:eastAsia="宋体" w:cs="宋体"/>
          <w:color w:val="000000" w:themeColor="text1"/>
          <w:sz w:val="36"/>
          <w:szCs w:val="36"/>
          <w:highlight w:val="none"/>
          <w14:textFill>
            <w14:solidFill>
              <w14:schemeClr w14:val="tx1"/>
            </w14:solidFill>
          </w14:textFill>
        </w:rPr>
      </w:pPr>
    </w:p>
    <w:p w14:paraId="3BBDF768">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r>
        <w:rPr>
          <w:rFonts w:hint="eastAsia" w:ascii="宋体" w:hAnsi="宋体" w:eastAsia="宋体" w:cs="宋体"/>
          <w:bCs/>
          <w:color w:val="000000" w:themeColor="text1"/>
          <w:sz w:val="40"/>
          <w:szCs w:val="40"/>
          <w:highlight w:val="none"/>
          <w14:textFill>
            <w14:solidFill>
              <w14:schemeClr w14:val="tx1"/>
            </w14:solidFill>
          </w14:textFill>
        </w:rPr>
        <w:t>×××（</w:t>
      </w:r>
      <w:r>
        <w:rPr>
          <w:rFonts w:hint="eastAsia" w:ascii="宋体" w:hAnsi="宋体" w:cs="宋体"/>
          <w:bCs/>
          <w:color w:val="000000" w:themeColor="text1"/>
          <w:sz w:val="40"/>
          <w:szCs w:val="40"/>
          <w:highlight w:val="none"/>
          <w:lang w:eastAsia="zh-CN"/>
          <w14:textFill>
            <w14:solidFill>
              <w14:schemeClr w14:val="tx1"/>
            </w14:solidFill>
          </w14:textFill>
        </w:rPr>
        <w:t>投标单位</w:t>
      </w:r>
      <w:r>
        <w:rPr>
          <w:rFonts w:hint="eastAsia" w:ascii="宋体" w:hAnsi="宋体" w:eastAsia="宋体" w:cs="宋体"/>
          <w:bCs/>
          <w:color w:val="000000" w:themeColor="text1"/>
          <w:sz w:val="40"/>
          <w:szCs w:val="40"/>
          <w:highlight w:val="none"/>
          <w14:textFill>
            <w14:solidFill>
              <w14:schemeClr w14:val="tx1"/>
            </w14:solidFill>
          </w14:textFill>
        </w:rPr>
        <w:t>名称）</w:t>
      </w:r>
    </w:p>
    <w:p w14:paraId="38EB6D31">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r>
        <w:rPr>
          <w:rFonts w:hint="eastAsia" w:ascii="宋体" w:hAnsi="宋体" w:eastAsia="宋体" w:cs="宋体"/>
          <w:bCs/>
          <w:color w:val="000000" w:themeColor="text1"/>
          <w:sz w:val="40"/>
          <w:szCs w:val="40"/>
          <w:highlight w:val="none"/>
          <w14:textFill>
            <w14:solidFill>
              <w14:schemeClr w14:val="tx1"/>
            </w14:solidFill>
          </w14:textFill>
        </w:rPr>
        <w:t>投 标 文 件</w:t>
      </w:r>
    </w:p>
    <w:p w14:paraId="30E4EBA6">
      <w:pPr>
        <w:pStyle w:val="2"/>
        <w:numPr>
          <w:ilvl w:val="1"/>
          <w:numId w:val="0"/>
        </w:numPr>
        <w:rPr>
          <w:rFonts w:hint="eastAsia" w:ascii="宋体" w:hAnsi="宋体" w:eastAsia="宋体" w:cs="宋体"/>
          <w:color w:val="000000" w:themeColor="text1"/>
          <w:highlight w:val="none"/>
          <w14:textFill>
            <w14:solidFill>
              <w14:schemeClr w14:val="tx1"/>
            </w14:solidFill>
          </w14:textFill>
        </w:rPr>
      </w:pPr>
    </w:p>
    <w:p w14:paraId="1D20AEB9">
      <w:pPr>
        <w:rPr>
          <w:rFonts w:hint="eastAsia" w:ascii="宋体" w:hAnsi="宋体" w:eastAsia="宋体" w:cs="宋体"/>
          <w:bCs/>
          <w:color w:val="000000" w:themeColor="text1"/>
          <w:sz w:val="24"/>
          <w:highlight w:val="none"/>
          <w14:textFill>
            <w14:solidFill>
              <w14:schemeClr w14:val="tx1"/>
            </w14:solidFill>
          </w14:textFill>
        </w:rPr>
      </w:pPr>
    </w:p>
    <w:p w14:paraId="4317A640">
      <w:pPr>
        <w:pStyle w:val="2"/>
        <w:numPr>
          <w:ilvl w:val="1"/>
          <w:numId w:val="0"/>
        </w:numPr>
        <w:rPr>
          <w:rFonts w:hint="eastAsia" w:ascii="宋体" w:hAnsi="宋体" w:eastAsia="宋体" w:cs="宋体"/>
          <w:color w:val="000000" w:themeColor="text1"/>
          <w:highlight w:val="none"/>
          <w14:textFill>
            <w14:solidFill>
              <w14:schemeClr w14:val="tx1"/>
            </w14:solidFill>
          </w14:textFill>
        </w:rPr>
      </w:pPr>
    </w:p>
    <w:p w14:paraId="0F9DF12E">
      <w:pPr>
        <w:pStyle w:val="2"/>
        <w:numPr>
          <w:ilvl w:val="1"/>
          <w:numId w:val="0"/>
        </w:numPr>
        <w:rPr>
          <w:rFonts w:hint="eastAsia" w:ascii="宋体" w:hAnsi="宋体" w:eastAsia="宋体" w:cs="宋体"/>
          <w:color w:val="000000" w:themeColor="text1"/>
          <w:highlight w:val="none"/>
          <w14:textFill>
            <w14:solidFill>
              <w14:schemeClr w14:val="tx1"/>
            </w14:solidFill>
          </w14:textFill>
        </w:rPr>
      </w:pPr>
    </w:p>
    <w:p w14:paraId="1A60D92F">
      <w:pPr>
        <w:rPr>
          <w:rFonts w:hint="eastAsia" w:ascii="宋体" w:hAnsi="宋体" w:eastAsia="宋体" w:cs="宋体"/>
          <w:color w:val="000000" w:themeColor="text1"/>
          <w:highlight w:val="none"/>
          <w14:textFill>
            <w14:solidFill>
              <w14:schemeClr w14:val="tx1"/>
            </w14:solidFill>
          </w14:textFill>
        </w:rPr>
      </w:pPr>
    </w:p>
    <w:p w14:paraId="6FBC5188">
      <w:pPr>
        <w:pStyle w:val="26"/>
        <w:rPr>
          <w:rFonts w:hint="eastAsia" w:ascii="宋体" w:hAnsi="宋体" w:eastAsia="宋体" w:cs="宋体"/>
          <w:color w:val="000000" w:themeColor="text1"/>
          <w:highlight w:val="none"/>
          <w14:textFill>
            <w14:solidFill>
              <w14:schemeClr w14:val="tx1"/>
            </w14:solidFill>
          </w14:textFill>
        </w:rPr>
      </w:pPr>
    </w:p>
    <w:p w14:paraId="1C3B5AF9">
      <w:pPr>
        <w:pStyle w:val="27"/>
        <w:rPr>
          <w:rFonts w:hint="eastAsia" w:ascii="宋体" w:hAnsi="宋体" w:eastAsia="宋体" w:cs="宋体"/>
          <w:color w:val="000000" w:themeColor="text1"/>
          <w:highlight w:val="none"/>
          <w14:textFill>
            <w14:solidFill>
              <w14:schemeClr w14:val="tx1"/>
            </w14:solidFill>
          </w14:textFill>
        </w:rPr>
      </w:pPr>
    </w:p>
    <w:p w14:paraId="3C4B9814">
      <w:pPr>
        <w:rPr>
          <w:rFonts w:hint="eastAsia" w:ascii="宋体" w:hAnsi="宋体" w:eastAsia="宋体" w:cs="宋体"/>
          <w:color w:val="000000" w:themeColor="text1"/>
          <w:highlight w:val="none"/>
          <w14:textFill>
            <w14:solidFill>
              <w14:schemeClr w14:val="tx1"/>
            </w14:solidFill>
          </w14:textFill>
        </w:rPr>
      </w:pPr>
    </w:p>
    <w:p w14:paraId="0E922B5C">
      <w:pPr>
        <w:pStyle w:val="26"/>
        <w:rPr>
          <w:rFonts w:hint="eastAsia" w:ascii="宋体" w:hAnsi="宋体" w:eastAsia="宋体" w:cs="宋体"/>
          <w:color w:val="000000" w:themeColor="text1"/>
          <w:highlight w:val="none"/>
          <w14:textFill>
            <w14:solidFill>
              <w14:schemeClr w14:val="tx1"/>
            </w14:solidFill>
          </w14:textFill>
        </w:rPr>
      </w:pPr>
    </w:p>
    <w:p w14:paraId="63F4C731">
      <w:pPr>
        <w:pStyle w:val="27"/>
        <w:rPr>
          <w:rFonts w:hint="eastAsia"/>
          <w:color w:val="000000" w:themeColor="text1"/>
          <w:highlight w:val="none"/>
          <w14:textFill>
            <w14:solidFill>
              <w14:schemeClr w14:val="tx1"/>
            </w14:solidFill>
          </w14:textFill>
        </w:rPr>
      </w:pPr>
    </w:p>
    <w:p w14:paraId="4D90232A">
      <w:pPr>
        <w:pStyle w:val="27"/>
        <w:rPr>
          <w:rFonts w:hint="eastAsia"/>
          <w:color w:val="000000" w:themeColor="text1"/>
          <w:highlight w:val="none"/>
          <w14:textFill>
            <w14:solidFill>
              <w14:schemeClr w14:val="tx1"/>
            </w14:solidFill>
          </w14:textFill>
        </w:rPr>
      </w:pPr>
    </w:p>
    <w:p w14:paraId="6028589D">
      <w:pPr>
        <w:rPr>
          <w:rFonts w:hint="eastAsia" w:ascii="宋体" w:hAnsi="宋体" w:eastAsia="宋体" w:cs="宋体"/>
          <w:color w:val="000000" w:themeColor="text1"/>
          <w:highlight w:val="none"/>
          <w14:textFill>
            <w14:solidFill>
              <w14:schemeClr w14:val="tx1"/>
            </w14:solidFill>
          </w14:textFill>
        </w:rPr>
      </w:pPr>
    </w:p>
    <w:p w14:paraId="6E650FAE">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zh-CN" w:eastAsia="zh-CN"/>
          <w14:textFill>
            <w14:solidFill>
              <w14:schemeClr w14:val="tx1"/>
            </w14:solidFill>
          </w14:textFill>
        </w:rPr>
        <w:t>2025年桐庐县青少年宫消防维保单位采购项目</w:t>
      </w:r>
    </w:p>
    <w:p w14:paraId="0AEC941A">
      <w:pPr>
        <w:snapToGrid w:val="0"/>
        <w:spacing w:before="240" w:beforeLines="100" w:after="240" w:afterLines="100" w:line="360" w:lineRule="auto"/>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zh-CN" w:eastAsia="zh-CN"/>
          <w14:textFill>
            <w14:solidFill>
              <w14:schemeClr w14:val="tx1"/>
            </w14:solidFill>
          </w14:textFill>
        </w:rPr>
        <w:t>项目编号：</w:t>
      </w:r>
      <w:r>
        <w:rPr>
          <w:rFonts w:hint="eastAsia" w:ascii="宋体" w:hAnsi="宋体" w:cs="宋体"/>
          <w:bCs/>
          <w:color w:val="000000" w:themeColor="text1"/>
          <w:sz w:val="24"/>
          <w:highlight w:val="none"/>
          <w:lang w:val="zh-CN" w:eastAsia="zh-CN"/>
          <w14:textFill>
            <w14:solidFill>
              <w14:schemeClr w14:val="tx1"/>
            </w14:solidFill>
          </w14:textFill>
        </w:rPr>
        <w:t>HZHC-TL2025XJ-007</w:t>
      </w:r>
    </w:p>
    <w:p w14:paraId="10021CE3">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投标文件名称：（资格文件）（报价文件）</w:t>
      </w:r>
    </w:p>
    <w:p w14:paraId="3B7855F6">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highlight w:val="none"/>
          <w14:textFill>
            <w14:solidFill>
              <w14:schemeClr w14:val="tx1"/>
            </w14:solidFill>
          </w14:textFill>
        </w:rPr>
        <w:t>名称（盖章）：</w:t>
      </w:r>
    </w:p>
    <w:p w14:paraId="0DADEC58">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highlight w:val="none"/>
          <w14:textFill>
            <w14:solidFill>
              <w14:schemeClr w14:val="tx1"/>
            </w14:solidFill>
          </w14:textFill>
        </w:rPr>
        <w:t>地址：</w:t>
      </w:r>
    </w:p>
    <w:p w14:paraId="21C07AC6">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w:t>
      </w:r>
      <w:r>
        <w:rPr>
          <w:rFonts w:hint="eastAsia" w:ascii="宋体" w:hAnsi="宋体" w:cs="宋体"/>
          <w:bCs/>
          <w:color w:val="000000" w:themeColor="text1"/>
          <w:sz w:val="24"/>
          <w:highlight w:val="none"/>
          <w:lang w:val="en-US" w:eastAsia="zh-CN"/>
          <w14:textFill>
            <w14:solidFill>
              <w14:schemeClr w14:val="tx1"/>
            </w14:solidFill>
          </w14:textFill>
        </w:rPr>
        <w:t>或</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委托代理人）</w:t>
      </w:r>
      <w:r>
        <w:rPr>
          <w:rFonts w:hint="eastAsia" w:ascii="宋体" w:hAnsi="宋体" w:eastAsia="宋体" w:cs="宋体"/>
          <w:bCs/>
          <w:color w:val="000000" w:themeColor="text1"/>
          <w:sz w:val="24"/>
          <w:highlight w:val="none"/>
          <w14:textFill>
            <w14:solidFill>
              <w14:schemeClr w14:val="tx1"/>
            </w14:solidFill>
          </w14:textFill>
        </w:rPr>
        <w:t>签字或盖章：</w:t>
      </w:r>
    </w:p>
    <w:p w14:paraId="63AD3218">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在 </w:t>
      </w:r>
      <w:r>
        <w:rPr>
          <w:rFonts w:hint="eastAsia" w:ascii="宋体" w:hAnsi="宋体" w:cs="宋体"/>
          <w:bCs/>
          <w:color w:val="000000" w:themeColor="text1"/>
          <w:sz w:val="24"/>
          <w:highlight w:val="none"/>
          <w:lang w:eastAsia="zh-CN"/>
          <w14:textFill>
            <w14:solidFill>
              <w14:schemeClr w14:val="tx1"/>
            </w14:solidFill>
          </w14:textFill>
        </w:rPr>
        <w:t>2025</w:t>
      </w:r>
      <w:r>
        <w:rPr>
          <w:rFonts w:hint="eastAsia" w:ascii="宋体" w:hAnsi="宋体" w:eastAsia="宋体" w:cs="宋体"/>
          <w:bCs/>
          <w:color w:val="000000" w:themeColor="text1"/>
          <w:sz w:val="24"/>
          <w:highlight w:val="none"/>
          <w14:textFill>
            <w14:solidFill>
              <w14:schemeClr w14:val="tx1"/>
            </w14:solidFill>
          </w14:textFill>
        </w:rPr>
        <w:t>年  月  日  时  分之前不得启封</w:t>
      </w:r>
    </w:p>
    <w:p w14:paraId="4F8A9F9E">
      <w:pPr>
        <w:pStyle w:val="964"/>
        <w:ind w:left="0"/>
        <w:outlineLvl w:val="1"/>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 xml:space="preserve">2、 投标文件封面格式： </w:t>
      </w:r>
    </w:p>
    <w:p w14:paraId="39C958D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05EFDFC">
      <w:pPr>
        <w:snapToGrid w:val="0"/>
        <w:spacing w:line="360" w:lineRule="auto"/>
        <w:ind w:firstLine="803" w:firstLineChars="200"/>
        <w:jc w:val="right"/>
        <w:rPr>
          <w:rFonts w:hint="eastAsia" w:ascii="宋体" w:hAnsi="宋体" w:eastAsia="宋体" w:cs="宋体"/>
          <w:b/>
          <w:bCs/>
          <w:color w:val="000000" w:themeColor="text1"/>
          <w:sz w:val="40"/>
          <w:szCs w:val="40"/>
          <w:highlight w:val="none"/>
          <w14:textFill>
            <w14:solidFill>
              <w14:schemeClr w14:val="tx1"/>
            </w14:solidFill>
          </w14:textFill>
        </w:rPr>
      </w:pPr>
      <w:r>
        <w:rPr>
          <w:rFonts w:hint="eastAsia" w:ascii="宋体" w:hAnsi="宋体" w:eastAsia="宋体" w:cs="宋体"/>
          <w:b/>
          <w:bCs/>
          <w:color w:val="000000" w:themeColor="text1"/>
          <w:sz w:val="40"/>
          <w:szCs w:val="40"/>
          <w:highlight w:val="none"/>
          <w14:textFill>
            <w14:solidFill>
              <w14:schemeClr w14:val="tx1"/>
            </w14:solidFill>
          </w14:textFill>
        </w:rPr>
        <w:t>正本/副本</w:t>
      </w:r>
    </w:p>
    <w:p w14:paraId="2325F930">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p>
    <w:p w14:paraId="296A412B">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r>
        <w:rPr>
          <w:rFonts w:hint="eastAsia" w:ascii="宋体" w:hAnsi="宋体" w:eastAsia="宋体" w:cs="宋体"/>
          <w:bCs/>
          <w:color w:val="000000" w:themeColor="text1"/>
          <w:sz w:val="40"/>
          <w:szCs w:val="40"/>
          <w:highlight w:val="none"/>
          <w14:textFill>
            <w14:solidFill>
              <w14:schemeClr w14:val="tx1"/>
            </w14:solidFill>
          </w14:textFill>
        </w:rPr>
        <w:t>×××（</w:t>
      </w:r>
      <w:r>
        <w:rPr>
          <w:rFonts w:hint="eastAsia" w:ascii="宋体" w:hAnsi="宋体" w:cs="宋体"/>
          <w:bCs/>
          <w:color w:val="000000" w:themeColor="text1"/>
          <w:sz w:val="40"/>
          <w:szCs w:val="40"/>
          <w:highlight w:val="none"/>
          <w:lang w:eastAsia="zh-CN"/>
          <w14:textFill>
            <w14:solidFill>
              <w14:schemeClr w14:val="tx1"/>
            </w14:solidFill>
          </w14:textFill>
        </w:rPr>
        <w:t>投标单位</w:t>
      </w:r>
      <w:r>
        <w:rPr>
          <w:rFonts w:hint="eastAsia" w:ascii="宋体" w:hAnsi="宋体" w:eastAsia="宋体" w:cs="宋体"/>
          <w:bCs/>
          <w:color w:val="000000" w:themeColor="text1"/>
          <w:sz w:val="40"/>
          <w:szCs w:val="40"/>
          <w:highlight w:val="none"/>
          <w14:textFill>
            <w14:solidFill>
              <w14:schemeClr w14:val="tx1"/>
            </w14:solidFill>
          </w14:textFill>
        </w:rPr>
        <w:t>名称）</w:t>
      </w:r>
    </w:p>
    <w:p w14:paraId="1DAF09E9">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r>
        <w:rPr>
          <w:rFonts w:hint="eastAsia" w:ascii="宋体" w:hAnsi="宋体" w:eastAsia="宋体" w:cs="宋体"/>
          <w:bCs/>
          <w:color w:val="000000" w:themeColor="text1"/>
          <w:sz w:val="40"/>
          <w:szCs w:val="40"/>
          <w:highlight w:val="none"/>
          <w14:textFill>
            <w14:solidFill>
              <w14:schemeClr w14:val="tx1"/>
            </w14:solidFill>
          </w14:textFill>
        </w:rPr>
        <w:t>资格文件、报价文件</w:t>
      </w:r>
    </w:p>
    <w:p w14:paraId="62A77998">
      <w:pPr>
        <w:pStyle w:val="2"/>
        <w:numPr>
          <w:ilvl w:val="1"/>
          <w:numId w:val="0"/>
        </w:numPr>
        <w:rPr>
          <w:rFonts w:hint="eastAsia" w:ascii="宋体" w:hAnsi="宋体" w:eastAsia="宋体" w:cs="宋体"/>
          <w:color w:val="000000" w:themeColor="text1"/>
          <w:highlight w:val="none"/>
          <w14:textFill>
            <w14:solidFill>
              <w14:schemeClr w14:val="tx1"/>
            </w14:solidFill>
          </w14:textFill>
        </w:rPr>
      </w:pPr>
    </w:p>
    <w:p w14:paraId="0C6774FD">
      <w:pPr>
        <w:rPr>
          <w:rFonts w:hint="eastAsia" w:ascii="宋体" w:hAnsi="宋体" w:eastAsia="宋体" w:cs="宋体"/>
          <w:bCs/>
          <w:color w:val="000000" w:themeColor="text1"/>
          <w:sz w:val="24"/>
          <w:highlight w:val="none"/>
          <w14:textFill>
            <w14:solidFill>
              <w14:schemeClr w14:val="tx1"/>
            </w14:solidFill>
          </w14:textFill>
        </w:rPr>
      </w:pPr>
    </w:p>
    <w:p w14:paraId="507BC96A">
      <w:pPr>
        <w:rPr>
          <w:rFonts w:hint="eastAsia" w:ascii="宋体" w:hAnsi="宋体" w:eastAsia="宋体" w:cs="宋体"/>
          <w:bCs/>
          <w:color w:val="000000" w:themeColor="text1"/>
          <w:sz w:val="24"/>
          <w:highlight w:val="none"/>
          <w14:textFill>
            <w14:solidFill>
              <w14:schemeClr w14:val="tx1"/>
            </w14:solidFill>
          </w14:textFill>
        </w:rPr>
      </w:pPr>
    </w:p>
    <w:p w14:paraId="196DDDDB">
      <w:pPr>
        <w:pStyle w:val="2"/>
        <w:numPr>
          <w:ilvl w:val="1"/>
          <w:numId w:val="0"/>
        </w:numPr>
        <w:rPr>
          <w:rFonts w:hint="eastAsia" w:ascii="宋体" w:hAnsi="宋体" w:eastAsia="宋体" w:cs="宋体"/>
          <w:color w:val="000000" w:themeColor="text1"/>
          <w:highlight w:val="none"/>
          <w14:textFill>
            <w14:solidFill>
              <w14:schemeClr w14:val="tx1"/>
            </w14:solidFill>
          </w14:textFill>
        </w:rPr>
      </w:pPr>
    </w:p>
    <w:p w14:paraId="65DE465F">
      <w:pPr>
        <w:pStyle w:val="2"/>
        <w:numPr>
          <w:ilvl w:val="1"/>
          <w:numId w:val="0"/>
        </w:numPr>
        <w:rPr>
          <w:rFonts w:hint="eastAsia" w:ascii="宋体" w:hAnsi="宋体" w:eastAsia="宋体" w:cs="宋体"/>
          <w:color w:val="000000" w:themeColor="text1"/>
          <w:highlight w:val="none"/>
          <w14:textFill>
            <w14:solidFill>
              <w14:schemeClr w14:val="tx1"/>
            </w14:solidFill>
          </w14:textFill>
        </w:rPr>
      </w:pPr>
    </w:p>
    <w:p w14:paraId="73F9259D">
      <w:pPr>
        <w:rPr>
          <w:rFonts w:hint="eastAsia" w:ascii="宋体" w:hAnsi="宋体" w:eastAsia="宋体" w:cs="宋体"/>
          <w:color w:val="000000" w:themeColor="text1"/>
          <w:highlight w:val="none"/>
          <w14:textFill>
            <w14:solidFill>
              <w14:schemeClr w14:val="tx1"/>
            </w14:solidFill>
          </w14:textFill>
        </w:rPr>
      </w:pPr>
    </w:p>
    <w:p w14:paraId="60D25B24">
      <w:pPr>
        <w:pStyle w:val="83"/>
        <w:rPr>
          <w:rFonts w:hint="eastAsia" w:ascii="宋体" w:hAnsi="宋体" w:eastAsia="宋体" w:cs="宋体"/>
          <w:color w:val="000000" w:themeColor="text1"/>
          <w:highlight w:val="none"/>
          <w14:textFill>
            <w14:solidFill>
              <w14:schemeClr w14:val="tx1"/>
            </w14:solidFill>
          </w14:textFill>
        </w:rPr>
      </w:pPr>
    </w:p>
    <w:p w14:paraId="2866B015">
      <w:pPr>
        <w:rPr>
          <w:rFonts w:hint="eastAsia" w:ascii="宋体" w:hAnsi="宋体" w:eastAsia="宋体" w:cs="宋体"/>
          <w:color w:val="000000" w:themeColor="text1"/>
          <w:highlight w:val="none"/>
          <w14:textFill>
            <w14:solidFill>
              <w14:schemeClr w14:val="tx1"/>
            </w14:solidFill>
          </w14:textFill>
        </w:rPr>
      </w:pPr>
    </w:p>
    <w:p w14:paraId="2D3F8CB7">
      <w:pPr>
        <w:pStyle w:val="81"/>
        <w:rPr>
          <w:rFonts w:hint="eastAsia"/>
          <w:color w:val="000000" w:themeColor="text1"/>
          <w:highlight w:val="none"/>
          <w14:textFill>
            <w14:solidFill>
              <w14:schemeClr w14:val="tx1"/>
            </w14:solidFill>
          </w14:textFill>
        </w:rPr>
      </w:pPr>
    </w:p>
    <w:p w14:paraId="4A6A8FF8">
      <w:pPr>
        <w:pStyle w:val="81"/>
        <w:rPr>
          <w:rFonts w:hint="eastAsia"/>
          <w:color w:val="000000" w:themeColor="text1"/>
          <w:highlight w:val="none"/>
          <w14:textFill>
            <w14:solidFill>
              <w14:schemeClr w14:val="tx1"/>
            </w14:solidFill>
          </w14:textFill>
        </w:rPr>
      </w:pPr>
    </w:p>
    <w:p w14:paraId="48D0ECC7">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zh-CN" w:eastAsia="zh-CN"/>
          <w14:textFill>
            <w14:solidFill>
              <w14:schemeClr w14:val="tx1"/>
            </w14:solidFill>
          </w14:textFill>
        </w:rPr>
        <w:t>2025年桐庐县青少年宫消防维保单位采购项目</w:t>
      </w:r>
    </w:p>
    <w:p w14:paraId="0484373F">
      <w:pPr>
        <w:snapToGrid w:val="0"/>
        <w:spacing w:before="240" w:beforeLines="100" w:after="240" w:afterLines="100" w:line="360" w:lineRule="auto"/>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zh-CN" w:eastAsia="zh-CN"/>
          <w14:textFill>
            <w14:solidFill>
              <w14:schemeClr w14:val="tx1"/>
            </w14:solidFill>
          </w14:textFill>
        </w:rPr>
        <w:t>项目编号：</w:t>
      </w:r>
      <w:r>
        <w:rPr>
          <w:rFonts w:hint="eastAsia" w:ascii="宋体" w:hAnsi="宋体" w:cs="宋体"/>
          <w:bCs/>
          <w:color w:val="000000" w:themeColor="text1"/>
          <w:sz w:val="24"/>
          <w:highlight w:val="none"/>
          <w:lang w:val="zh-CN" w:eastAsia="zh-CN"/>
          <w14:textFill>
            <w14:solidFill>
              <w14:schemeClr w14:val="tx1"/>
            </w14:solidFill>
          </w14:textFill>
        </w:rPr>
        <w:t>HZHC-TL2025XJ-007</w:t>
      </w:r>
    </w:p>
    <w:p w14:paraId="03F0CDE5">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highlight w:val="none"/>
          <w14:textFill>
            <w14:solidFill>
              <w14:schemeClr w14:val="tx1"/>
            </w14:solidFill>
          </w14:textFill>
        </w:rPr>
        <w:t>名称（盖章）：</w:t>
      </w:r>
    </w:p>
    <w:p w14:paraId="2868276E">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投标单位</w:t>
      </w:r>
      <w:r>
        <w:rPr>
          <w:rFonts w:hint="eastAsia" w:ascii="宋体" w:hAnsi="宋体" w:eastAsia="宋体" w:cs="宋体"/>
          <w:bCs/>
          <w:color w:val="000000" w:themeColor="text1"/>
          <w:sz w:val="24"/>
          <w:highlight w:val="none"/>
          <w14:textFill>
            <w14:solidFill>
              <w14:schemeClr w14:val="tx1"/>
            </w14:solidFill>
          </w14:textFill>
        </w:rPr>
        <w:t>地址：</w:t>
      </w:r>
    </w:p>
    <w:p w14:paraId="36C25D5F">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w:t>
      </w:r>
      <w:r>
        <w:rPr>
          <w:rFonts w:hint="eastAsia" w:ascii="宋体" w:hAnsi="宋体" w:cs="宋体"/>
          <w:bCs/>
          <w:color w:val="000000" w:themeColor="text1"/>
          <w:sz w:val="24"/>
          <w:highlight w:val="none"/>
          <w:lang w:val="en-US" w:eastAsia="zh-CN"/>
          <w14:textFill>
            <w14:solidFill>
              <w14:schemeClr w14:val="tx1"/>
            </w14:solidFill>
          </w14:textFill>
        </w:rPr>
        <w:t>或</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委托代理人）</w:t>
      </w:r>
      <w:r>
        <w:rPr>
          <w:rFonts w:hint="eastAsia" w:ascii="宋体" w:hAnsi="宋体" w:eastAsia="宋体" w:cs="宋体"/>
          <w:bCs/>
          <w:color w:val="000000" w:themeColor="text1"/>
          <w:sz w:val="24"/>
          <w:highlight w:val="none"/>
          <w14:textFill>
            <w14:solidFill>
              <w14:schemeClr w14:val="tx1"/>
            </w14:solidFill>
          </w14:textFill>
        </w:rPr>
        <w:t>签字或盖章：</w:t>
      </w:r>
    </w:p>
    <w:p w14:paraId="1203D251">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p>
    <w:p w14:paraId="45C515A3">
      <w:pPr>
        <w:snapToGrid w:val="0"/>
        <w:spacing w:line="36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720AF041">
      <w:pPr>
        <w:pStyle w:val="81"/>
        <w:rPr>
          <w:rFonts w:hint="eastAsia"/>
          <w:color w:val="000000" w:themeColor="text1"/>
          <w:highlight w:val="none"/>
          <w14:textFill>
            <w14:solidFill>
              <w14:schemeClr w14:val="tx1"/>
            </w14:solidFill>
          </w14:textFill>
        </w:rPr>
      </w:pPr>
    </w:p>
    <w:p w14:paraId="0AA090F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cs="宋体"/>
          <w:b/>
          <w:bCs/>
          <w:color w:val="000000" w:themeColor="text1"/>
          <w:sz w:val="24"/>
          <w:highlight w:val="none"/>
          <w:lang w:eastAsia="zh-CN"/>
          <w14:textFill>
            <w14:solidFill>
              <w14:schemeClr w14:val="tx1"/>
            </w14:solidFill>
          </w14:textFill>
        </w:rPr>
        <w:t>投标单位</w:t>
      </w:r>
      <w:r>
        <w:rPr>
          <w:rFonts w:hint="eastAsia" w:ascii="宋体" w:hAnsi="宋体" w:eastAsia="宋体" w:cs="宋体"/>
          <w:b/>
          <w:bCs/>
          <w:color w:val="000000" w:themeColor="text1"/>
          <w:sz w:val="24"/>
          <w:highlight w:val="none"/>
          <w14:textFill>
            <w14:solidFill>
              <w14:schemeClr w14:val="tx1"/>
            </w14:solidFill>
          </w14:textFill>
        </w:rPr>
        <w:t>应按资</w:t>
      </w:r>
      <w:r>
        <w:rPr>
          <w:rFonts w:hint="eastAsia" w:ascii="宋体" w:hAnsi="宋体" w:cs="宋体"/>
          <w:b/>
          <w:bCs/>
          <w:color w:val="000000" w:themeColor="text1"/>
          <w:sz w:val="24"/>
          <w:highlight w:val="none"/>
          <w:lang w:val="en-US" w:eastAsia="zh-CN"/>
          <w14:textFill>
            <w14:solidFill>
              <w14:schemeClr w14:val="tx1"/>
            </w14:solidFill>
          </w14:textFill>
        </w:rPr>
        <w:t>格</w:t>
      </w:r>
      <w:r>
        <w:rPr>
          <w:rFonts w:hint="eastAsia" w:ascii="宋体" w:hAnsi="宋体" w:eastAsia="宋体" w:cs="宋体"/>
          <w:b/>
          <w:bCs/>
          <w:color w:val="000000" w:themeColor="text1"/>
          <w:sz w:val="24"/>
          <w:highlight w:val="none"/>
          <w14:textFill>
            <w14:solidFill>
              <w14:schemeClr w14:val="tx1"/>
            </w14:solidFill>
          </w14:textFill>
        </w:rPr>
        <w:t>文件、报价文件分别进行编制、装订、封装投标文件</w:t>
      </w:r>
    </w:p>
    <w:p w14:paraId="7255B38D">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0BBC226F">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1486844B">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3CCE4CB4">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符合参加采购活动应当具备的一般条件的承诺函………………………（页码）</w:t>
      </w:r>
    </w:p>
    <w:p w14:paraId="3A7402A7">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r>
        <w:rPr>
          <w:rFonts w:hint="eastAsia" w:ascii="宋体" w:hAnsi="宋体" w:eastAsia="宋体" w:cs="宋体"/>
          <w:color w:val="000000" w:themeColor="text1"/>
          <w:sz w:val="24"/>
          <w:highlight w:val="none"/>
          <w14:textFill>
            <w14:solidFill>
              <w14:schemeClr w14:val="tx1"/>
            </w14:solidFill>
          </w14:textFill>
        </w:rPr>
        <w:t>………………………………………………（页码）</w:t>
      </w:r>
    </w:p>
    <w:p w14:paraId="7FFDF9EC">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）落实采购政策需满足的资格要求…………………………………………（页码）</w:t>
      </w:r>
    </w:p>
    <w:p w14:paraId="75BB958F">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投标函</w:t>
      </w:r>
      <w:r>
        <w:rPr>
          <w:rFonts w:hint="eastAsia" w:ascii="宋体" w:hAnsi="宋体" w:eastAsia="宋体" w:cs="宋体"/>
          <w:color w:val="000000" w:themeColor="text1"/>
          <w:sz w:val="24"/>
          <w:highlight w:val="none"/>
          <w14:textFill>
            <w14:solidFill>
              <w14:schemeClr w14:val="tx1"/>
            </w14:solidFill>
          </w14:textFill>
        </w:rPr>
        <w:t>………………………………………………………………………（页码）</w:t>
      </w:r>
    </w:p>
    <w:p w14:paraId="6BF4DAAB">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）授权委托书或法定代表人（单位负责人）身份证明……………………（页码）</w:t>
      </w:r>
    </w:p>
    <w:p w14:paraId="78D09C62">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企业营业执照</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05464BC6">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本项目的特定资格要求</w:t>
      </w:r>
      <w:r>
        <w:rPr>
          <w:rFonts w:hint="eastAsia" w:ascii="宋体" w:hAnsi="宋体" w:cs="宋体"/>
          <w:color w:val="000000" w:themeColor="text1"/>
          <w:sz w:val="24"/>
          <w:highlight w:val="none"/>
          <w:lang w:val="zh-CN"/>
          <w14:textFill>
            <w14:solidFill>
              <w14:schemeClr w14:val="tx1"/>
            </w14:solidFill>
          </w14:textFill>
        </w:rPr>
        <w:t>（如有）</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148DCBF5">
      <w:pPr>
        <w:tabs>
          <w:tab w:val="center" w:pos="4535"/>
        </w:tabs>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p>
    <w:p w14:paraId="041DBF7A">
      <w:pPr>
        <w:pStyle w:val="83"/>
        <w:rPr>
          <w:rFonts w:hint="eastAsia"/>
          <w:color w:val="000000" w:themeColor="text1"/>
          <w:highlight w:val="none"/>
          <w:lang w:val="zh-CN"/>
          <w14:textFill>
            <w14:solidFill>
              <w14:schemeClr w14:val="tx1"/>
            </w14:solidFill>
          </w14:textFill>
        </w:rPr>
      </w:pPr>
    </w:p>
    <w:p w14:paraId="2A4026E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83D766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673DAC0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A599F0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4D18A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940B76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F38CD5">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433491C6">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7C2E8E71">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2ACD6B7D">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1F30EE2A">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6ACEE29A">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6CE92653">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1B9EA699">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184C7979">
      <w:pPr>
        <w:snapToGrid w:val="0"/>
        <w:spacing w:line="360" w:lineRule="auto"/>
        <w:ind w:right="480"/>
        <w:jc w:val="both"/>
        <w:rPr>
          <w:rFonts w:hint="eastAsia" w:ascii="宋体" w:hAnsi="宋体" w:eastAsia="宋体" w:cs="宋体"/>
          <w:b/>
          <w:color w:val="000000" w:themeColor="text1"/>
          <w:kern w:val="0"/>
          <w:sz w:val="32"/>
          <w:szCs w:val="32"/>
          <w:highlight w:val="none"/>
          <w14:textFill>
            <w14:solidFill>
              <w14:schemeClr w14:val="tx1"/>
            </w14:solidFill>
          </w14:textFill>
        </w:rPr>
      </w:pPr>
    </w:p>
    <w:p w14:paraId="7974F297">
      <w:pPr>
        <w:pStyle w:val="81"/>
        <w:rPr>
          <w:rFonts w:hint="eastAsia"/>
          <w:color w:val="000000" w:themeColor="text1"/>
          <w:highlight w:val="none"/>
          <w14:textFill>
            <w14:solidFill>
              <w14:schemeClr w14:val="tx1"/>
            </w14:solidFill>
          </w14:textFill>
        </w:rPr>
      </w:pPr>
    </w:p>
    <w:p w14:paraId="521B2F5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6CB08E09">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杭州恒城工程管理有限公司</w:t>
      </w:r>
      <w:r>
        <w:rPr>
          <w:rFonts w:hint="eastAsia" w:ascii="宋体" w:hAnsi="宋体" w:eastAsia="宋体" w:cs="宋体"/>
          <w:color w:val="000000" w:themeColor="text1"/>
          <w:sz w:val="24"/>
          <w:highlight w:val="none"/>
          <w14:textFill>
            <w14:solidFill>
              <w14:schemeClr w14:val="tx1"/>
            </w14:solidFill>
          </w14:textFill>
        </w:rPr>
        <w:t>：</w:t>
      </w:r>
    </w:p>
    <w:p w14:paraId="67FE68F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2025年桐庐县青少年宫消防维保单位采购项目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HZHC-TL2025XJ-007</w:t>
      </w:r>
      <w:r>
        <w:rPr>
          <w:rFonts w:hint="eastAsia" w:ascii="宋体" w:hAnsi="宋体" w:eastAsia="宋体" w:cs="宋体"/>
          <w:color w:val="000000" w:themeColor="text1"/>
          <w:sz w:val="24"/>
          <w:highlight w:val="none"/>
          <w14:textFill>
            <w14:solidFill>
              <w14:schemeClr w14:val="tx1"/>
            </w14:solidFill>
          </w14:textFill>
        </w:rPr>
        <w:t>】采购活动，郑重承诺：</w:t>
      </w:r>
    </w:p>
    <w:p w14:paraId="4A8C4CFF">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0C5CBB0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09DF8F9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1B95A80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549EBD0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5C111FF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5、参加采购活动前三年内，在经营活动中没有重大违法记录；</w:t>
      </w:r>
    </w:p>
    <w:p w14:paraId="5F02918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4EB947D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、中国政府采购网（www.ccgp.gov.cn）列入失信被执行人、重大税收违法案件当事人名单、采购严重违法失信行为记录名单。</w:t>
      </w:r>
    </w:p>
    <w:p w14:paraId="595C054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3992AAB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1、单位负责人为同一人或者存在直接控股、管理关系的不同供应商参加同一合同项下的采购活动的；</w:t>
      </w:r>
    </w:p>
    <w:p w14:paraId="0DF3B84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597FC630">
      <w:pPr>
        <w:pStyle w:val="26"/>
        <w:rPr>
          <w:rFonts w:hint="eastAsia" w:ascii="宋体" w:hAnsi="宋体" w:eastAsia="宋体" w:cs="宋体"/>
          <w:color w:val="000000" w:themeColor="text1"/>
          <w:sz w:val="24"/>
          <w:highlight w:val="none"/>
          <w14:textFill>
            <w14:solidFill>
              <w14:schemeClr w14:val="tx1"/>
            </w14:solidFill>
          </w14:textFill>
        </w:rPr>
      </w:pPr>
    </w:p>
    <w:p w14:paraId="7AE6ABD3">
      <w:pPr>
        <w:pStyle w:val="27"/>
        <w:rPr>
          <w:rFonts w:hint="eastAsia"/>
          <w:color w:val="000000" w:themeColor="text1"/>
          <w:highlight w:val="none"/>
          <w14:textFill>
            <w14:solidFill>
              <w14:schemeClr w14:val="tx1"/>
            </w14:solidFill>
          </w14:textFill>
        </w:rPr>
      </w:pPr>
    </w:p>
    <w:p w14:paraId="176A0C09">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投标单位</w:t>
      </w:r>
      <w:r>
        <w:rPr>
          <w:rFonts w:hint="eastAsia" w:ascii="宋体" w:hAnsi="宋体" w:eastAsia="宋体" w:cs="宋体"/>
          <w:color w:val="000000" w:themeColor="text1"/>
          <w:kern w:val="0"/>
          <w:sz w:val="24"/>
          <w:highlight w:val="none"/>
          <w:lang w:val="zh-CN"/>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EF14D7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48A9DD2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2F107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5DDC2E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59CA3D3">
      <w:pPr>
        <w:rPr>
          <w:rFonts w:hint="eastAsia" w:ascii="宋体" w:hAnsi="宋体" w:eastAsia="宋体" w:cs="宋体"/>
          <w:color w:val="000000" w:themeColor="text1"/>
          <w:highlight w:val="none"/>
          <w14:textFill>
            <w14:solidFill>
              <w14:schemeClr w14:val="tx1"/>
            </w14:solidFill>
          </w14:textFill>
        </w:rPr>
      </w:pPr>
    </w:p>
    <w:p w14:paraId="61AED47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5FE5584">
      <w:pPr>
        <w:pStyle w:val="26"/>
        <w:rPr>
          <w:rFonts w:hint="eastAsia" w:ascii="宋体" w:hAnsi="宋体" w:eastAsia="宋体" w:cs="宋体"/>
          <w:b/>
          <w:color w:val="000000" w:themeColor="text1"/>
          <w:kern w:val="0"/>
          <w:sz w:val="32"/>
          <w:szCs w:val="32"/>
          <w:highlight w:val="none"/>
          <w14:textFill>
            <w14:solidFill>
              <w14:schemeClr w14:val="tx1"/>
            </w14:solidFill>
          </w14:textFill>
        </w:rPr>
      </w:pPr>
    </w:p>
    <w:p w14:paraId="37210A5B">
      <w:pPr>
        <w:keepNext w:val="0"/>
        <w:keepLines w:val="0"/>
        <w:pageBreakBefore w:val="0"/>
        <w:widowControl w:val="0"/>
        <w:kinsoku/>
        <w:wordWrap/>
        <w:overflowPunct/>
        <w:topLinePunct w:val="0"/>
        <w:autoSpaceDE/>
        <w:autoSpaceDN/>
        <w:bidi w:val="0"/>
        <w:adjustRightInd w:val="0"/>
        <w:snapToGrid/>
        <w:spacing w:before="157" w:beforeLines="50" w:after="313" w:afterLines="10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2"/>
          <w:szCs w:val="32"/>
          <w:highlight w:val="none"/>
          <w:lang w:val="zh-CN"/>
          <w14:textFill>
            <w14:solidFill>
              <w14:schemeClr w14:val="tx1"/>
            </w14:solidFill>
          </w14:textFill>
        </w:rPr>
        <w:t>采购供应商廉洁自律承诺书</w:t>
      </w:r>
    </w:p>
    <w:p w14:paraId="0CDC150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杭州恒城工程管理有限公司</w:t>
      </w:r>
      <w:r>
        <w:rPr>
          <w:rFonts w:hint="eastAsia" w:ascii="宋体" w:hAnsi="宋体" w:eastAsia="宋体" w:cs="宋体"/>
          <w:color w:val="000000" w:themeColor="text1"/>
          <w:sz w:val="24"/>
          <w:highlight w:val="none"/>
          <w14:textFill>
            <w14:solidFill>
              <w14:schemeClr w14:val="tx1"/>
            </w14:solidFill>
          </w14:textFill>
        </w:rPr>
        <w:t>：</w:t>
      </w:r>
    </w:p>
    <w:p w14:paraId="65FB5CB4">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196272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0844B4C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42890BA">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78B26B33">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4607CDF9">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25757507">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03E173E5">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D71EFF3">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5A95AF72">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0B6B96EA">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60B8745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157501AB">
      <w:pPr>
        <w:snapToGrid w:val="0"/>
        <w:spacing w:line="360" w:lineRule="auto"/>
        <w:ind w:left="5986" w:leftChars="2622" w:hanging="480" w:hanging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投标单位</w:t>
      </w:r>
      <w:r>
        <w:rPr>
          <w:rFonts w:hint="eastAsia" w:ascii="宋体" w:hAnsi="宋体" w:eastAsia="宋体" w:cs="宋体"/>
          <w:color w:val="000000" w:themeColor="text1"/>
          <w:kern w:val="0"/>
          <w:sz w:val="24"/>
          <w:highlight w:val="none"/>
          <w:lang w:val="zh-CN"/>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53E55BB">
      <w:pPr>
        <w:pStyle w:val="27"/>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p>
    <w:p w14:paraId="6FCFADEB">
      <w:pPr>
        <w:pStyle w:val="28"/>
        <w:rPr>
          <w:rFonts w:hint="eastAsia" w:ascii="宋体" w:hAnsi="宋体" w:eastAsia="宋体" w:cs="宋体"/>
          <w:b/>
          <w:color w:val="000000" w:themeColor="text1"/>
          <w:kern w:val="0"/>
          <w:sz w:val="32"/>
          <w:szCs w:val="32"/>
          <w:highlight w:val="none"/>
          <w14:textFill>
            <w14:solidFill>
              <w14:schemeClr w14:val="tx1"/>
            </w14:solidFill>
          </w14:textFill>
        </w:rPr>
      </w:pPr>
    </w:p>
    <w:p w14:paraId="45824570">
      <w:pPr>
        <w:rPr>
          <w:rFonts w:hint="eastAsia" w:ascii="宋体" w:hAnsi="宋体" w:eastAsia="宋体" w:cs="宋体"/>
          <w:b/>
          <w:color w:val="000000" w:themeColor="text1"/>
          <w:kern w:val="0"/>
          <w:sz w:val="32"/>
          <w:szCs w:val="32"/>
          <w:highlight w:val="none"/>
          <w14:textFill>
            <w14:solidFill>
              <w14:schemeClr w14:val="tx1"/>
            </w14:solidFill>
          </w14:textFill>
        </w:rPr>
      </w:pPr>
    </w:p>
    <w:p w14:paraId="4DF6DF8E">
      <w:pPr>
        <w:pStyle w:val="26"/>
        <w:rPr>
          <w:rFonts w:hint="eastAsia" w:ascii="宋体" w:hAnsi="宋体" w:eastAsia="宋体" w:cs="宋体"/>
          <w:b/>
          <w:color w:val="000000" w:themeColor="text1"/>
          <w:kern w:val="0"/>
          <w:sz w:val="32"/>
          <w:szCs w:val="32"/>
          <w:highlight w:val="none"/>
          <w14:textFill>
            <w14:solidFill>
              <w14:schemeClr w14:val="tx1"/>
            </w14:solidFill>
          </w14:textFill>
        </w:rPr>
      </w:pPr>
    </w:p>
    <w:p w14:paraId="765A2A8E">
      <w:pPr>
        <w:pStyle w:val="27"/>
        <w:rPr>
          <w:rFonts w:hint="eastAsia" w:ascii="宋体" w:hAnsi="宋体" w:eastAsia="宋体" w:cs="宋体"/>
          <w:b/>
          <w:color w:val="000000" w:themeColor="text1"/>
          <w:kern w:val="0"/>
          <w:sz w:val="32"/>
          <w:szCs w:val="32"/>
          <w:highlight w:val="none"/>
          <w14:textFill>
            <w14:solidFill>
              <w14:schemeClr w14:val="tx1"/>
            </w14:solidFill>
          </w14:textFill>
        </w:rPr>
      </w:pPr>
    </w:p>
    <w:p w14:paraId="119D38E9">
      <w:pPr>
        <w:pStyle w:val="28"/>
        <w:rPr>
          <w:rFonts w:hint="eastAsia" w:ascii="宋体" w:hAnsi="宋体" w:eastAsia="宋体" w:cs="宋体"/>
          <w:b/>
          <w:color w:val="000000" w:themeColor="text1"/>
          <w:kern w:val="0"/>
          <w:sz w:val="32"/>
          <w:szCs w:val="32"/>
          <w:highlight w:val="none"/>
          <w14:textFill>
            <w14:solidFill>
              <w14:schemeClr w14:val="tx1"/>
            </w14:solidFill>
          </w14:textFill>
        </w:rPr>
      </w:pPr>
    </w:p>
    <w:p w14:paraId="39A889E0">
      <w:pPr>
        <w:rPr>
          <w:rFonts w:hint="eastAsia"/>
          <w:color w:val="000000" w:themeColor="text1"/>
          <w:highlight w:val="none"/>
          <w14:textFill>
            <w14:solidFill>
              <w14:schemeClr w14:val="tx1"/>
            </w14:solidFill>
          </w14:textFill>
        </w:rPr>
      </w:pPr>
    </w:p>
    <w:p w14:paraId="3A0CA5F7">
      <w:pPr>
        <w:pStyle w:val="83"/>
        <w:rPr>
          <w:rFonts w:hint="eastAsia" w:ascii="宋体" w:hAnsi="宋体" w:eastAsia="宋体" w:cs="宋体"/>
          <w:color w:val="000000" w:themeColor="text1"/>
          <w:highlight w:val="none"/>
          <w14:textFill>
            <w14:solidFill>
              <w14:schemeClr w14:val="tx1"/>
            </w14:solidFill>
          </w14:textFill>
        </w:rPr>
      </w:pPr>
    </w:p>
    <w:p w14:paraId="10D04F23">
      <w:pPr>
        <w:pStyle w:val="27"/>
        <w:ind w:left="0" w:leftChars="0" w:firstLine="0" w:firstLineChars="0"/>
        <w:rPr>
          <w:rFonts w:hint="eastAsia" w:ascii="宋体" w:hAnsi="宋体" w:eastAsia="宋体" w:cs="宋体"/>
          <w:color w:val="000000" w:themeColor="text1"/>
          <w:highlight w:val="none"/>
          <w14:textFill>
            <w14:solidFill>
              <w14:schemeClr w14:val="tx1"/>
            </w14:solidFill>
          </w14:textFill>
        </w:rPr>
      </w:pPr>
    </w:p>
    <w:p w14:paraId="2C4BF46F">
      <w:pPr>
        <w:snapToGrid w:val="0"/>
        <w:spacing w:line="360" w:lineRule="auto"/>
        <w:jc w:val="center"/>
        <w:outlineLvl w:val="0"/>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14:textFill>
            <w14:solidFill>
              <w14:schemeClr w14:val="tx1"/>
            </w14:solidFill>
          </w14:textFill>
        </w:rPr>
        <w:t>落实采购政策需满足的资格要求</w:t>
      </w:r>
    </w:p>
    <w:p w14:paraId="4CDA2CFB">
      <w:pPr>
        <w:spacing w:line="360" w:lineRule="auto"/>
        <w:ind w:firstLine="360" w:firstLineChars="1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 w:val="24"/>
          <w:highlight w:val="none"/>
          <w:u w:val="single"/>
          <w:lang w:val="zh-CN" w:eastAsia="zh-CN"/>
          <w14:textFill>
            <w14:solidFill>
              <w14:schemeClr w14:val="tx1"/>
            </w14:solidFill>
          </w14:textFill>
        </w:rPr>
        <w:t>2025年桐庐县青少年宫消防维保单位采购项目</w:t>
      </w:r>
      <w:r>
        <w:rPr>
          <w:rFonts w:hint="eastAsia" w:ascii="宋体" w:hAnsi="宋体" w:eastAsia="宋体" w:cs="宋体"/>
          <w:color w:val="000000" w:themeColor="text1"/>
          <w:sz w:val="24"/>
          <w:highlight w:val="none"/>
          <w14:textFill>
            <w14:solidFill>
              <w14:schemeClr w14:val="tx1"/>
            </w14:solidFill>
          </w14:textFill>
        </w:rPr>
        <w:t>采购活动，</w:t>
      </w: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单位全部为符合政策要求的中小企业（或者：服务全部由符合政策要求的中小企业承接）。相关企业（含联合体中的中小企业、签订分包意向协议的中小企业）的具体情况如下：</w:t>
      </w:r>
    </w:p>
    <w:p w14:paraId="54681D6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zh-CN" w:eastAsia="zh-CN"/>
          <w14:textFill>
            <w14:solidFill>
              <w14:schemeClr w14:val="tx1"/>
            </w14:solidFill>
          </w14:textFill>
        </w:rPr>
        <w:t>2025年桐庐县青少年宫消防维保单位采购项目</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lang w:val="en-US" w:eastAsia="zh-CN"/>
          <w14:textFill>
            <w14:solidFill>
              <w14:schemeClr w14:val="tx1"/>
            </w14:solidFill>
          </w14:textFill>
        </w:rPr>
        <w:t>其他未列明</w:t>
      </w:r>
      <w:r>
        <w:rPr>
          <w:rFonts w:hint="eastAsia" w:ascii="宋体" w:hAnsi="宋体" w:cs="宋体"/>
          <w:color w:val="000000" w:themeColor="text1"/>
          <w:sz w:val="24"/>
          <w:highlight w:val="none"/>
          <w:u w:val="single"/>
          <w:lang w:eastAsia="zh-CN"/>
          <w14:textFill>
            <w14:solidFill>
              <w14:schemeClr w14:val="tx1"/>
            </w14:solidFill>
          </w14:textFill>
        </w:rPr>
        <w:t>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4677444D">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59CCDCD">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F5C5D9C">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06A2744B">
      <w:pPr>
        <w:pStyle w:val="2"/>
        <w:rPr>
          <w:rFonts w:hint="eastAsia"/>
          <w:color w:val="000000" w:themeColor="text1"/>
          <w:highlight w:val="none"/>
          <w14:textFill>
            <w14:solidFill>
              <w14:schemeClr w14:val="tx1"/>
            </w14:solidFill>
          </w14:textFill>
        </w:rPr>
      </w:pPr>
    </w:p>
    <w:p w14:paraId="27488E8A">
      <w:pPr>
        <w:spacing w:line="360" w:lineRule="auto"/>
        <w:ind w:left="5269" w:leftChars="2166" w:right="1120" w:hanging="720" w:hanging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投标单位</w:t>
      </w:r>
      <w:r>
        <w:rPr>
          <w:rFonts w:hint="eastAsia" w:ascii="宋体" w:hAnsi="宋体" w:eastAsia="宋体" w:cs="宋体"/>
          <w:color w:val="000000" w:themeColor="text1"/>
          <w:kern w:val="0"/>
          <w:sz w:val="24"/>
          <w:highlight w:val="none"/>
          <w:lang w:val="zh-CN"/>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p>
    <w:p w14:paraId="4BCDCD7C">
      <w:pPr>
        <w:keepNext w:val="0"/>
        <w:keepLines w:val="0"/>
        <w:pageBreakBefore w:val="0"/>
        <w:widowControl w:val="0"/>
        <w:kinsoku/>
        <w:wordWrap/>
        <w:overflowPunct/>
        <w:topLinePunct w:val="0"/>
        <w:autoSpaceDE/>
        <w:autoSpaceDN/>
        <w:bidi w:val="0"/>
        <w:adjustRightInd w:val="0"/>
        <w:snapToGrid/>
        <w:spacing w:before="469" w:beforeLines="150" w:line="360" w:lineRule="auto"/>
        <w:ind w:firstLine="310" w:firstLineChars="147"/>
        <w:jc w:val="left"/>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06AD73AF">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14:paraId="547342C4">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954F81C">
      <w:pPr>
        <w:snapToGrid w:val="0"/>
        <w:spacing w:line="360" w:lineRule="auto"/>
        <w:jc w:val="center"/>
        <w:outlineLvl w:val="0"/>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2FBC64CA">
      <w:pPr>
        <w:snapToGrid w:val="0"/>
        <w:spacing w:line="360" w:lineRule="auto"/>
        <w:jc w:val="center"/>
        <w:outlineLvl w:val="0"/>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20263BF2">
      <w:pPr>
        <w:snapToGrid w:val="0"/>
        <w:spacing w:line="360" w:lineRule="auto"/>
        <w:jc w:val="center"/>
        <w:outlineLvl w:val="0"/>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52297A8E">
      <w:pPr>
        <w:snapToGrid w:val="0"/>
        <w:spacing w:line="360" w:lineRule="auto"/>
        <w:jc w:val="center"/>
        <w:outlineLvl w:val="0"/>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51E4C4CE">
      <w:pPr>
        <w:pStyle w:val="26"/>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1BE2ED62">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6040939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杭州恒城工程管理有限公司</w:t>
      </w:r>
      <w:r>
        <w:rPr>
          <w:rFonts w:hint="eastAsia" w:ascii="宋体" w:hAnsi="宋体" w:eastAsia="宋体" w:cs="宋体"/>
          <w:color w:val="000000" w:themeColor="text1"/>
          <w:sz w:val="24"/>
          <w:highlight w:val="none"/>
          <w14:textFill>
            <w14:solidFill>
              <w14:schemeClr w14:val="tx1"/>
            </w14:solidFill>
          </w14:textFill>
        </w:rPr>
        <w:t>：</w:t>
      </w:r>
    </w:p>
    <w:p w14:paraId="751834C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2025年桐庐县青少年宫消防维保单位采购项目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HZHC-TL2025XJ-007</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347007E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6AEC4B0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63A18B2F">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b/>
          <w:bCs/>
          <w:color w:val="000000" w:themeColor="text1"/>
          <w:sz w:val="24"/>
          <w:highlight w:val="none"/>
          <w14:textFill>
            <w14:solidFill>
              <w14:schemeClr w14:val="tx1"/>
            </w14:solidFill>
          </w14:textFill>
        </w:rPr>
        <w:t>资格文件：</w:t>
      </w:r>
    </w:p>
    <w:p w14:paraId="1987F8C1">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2.1.1符合参加采购活动应当具备的一般条件的承诺函</w:t>
      </w:r>
    </w:p>
    <w:p w14:paraId="1A7F51F9">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p>
    <w:p w14:paraId="1517DBE0">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落实采购政策需满足的资格要求</w:t>
      </w:r>
    </w:p>
    <w:p w14:paraId="47943ADA">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投标函</w:t>
      </w:r>
    </w:p>
    <w:p w14:paraId="6A00ACC5">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授权委托书或法定代表人（单位负责人）身份证明</w:t>
      </w:r>
    </w:p>
    <w:p w14:paraId="0C86701F">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企业营业执照</w:t>
      </w:r>
    </w:p>
    <w:p w14:paraId="05C93CC0">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本项目的特定资格要求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如有</w:t>
      </w:r>
      <w:r>
        <w:rPr>
          <w:rFonts w:hint="eastAsia" w:ascii="宋体" w:hAnsi="宋体" w:eastAsia="宋体" w:cs="宋体"/>
          <w:color w:val="000000" w:themeColor="text1"/>
          <w:sz w:val="24"/>
          <w:highlight w:val="none"/>
          <w14:textFill>
            <w14:solidFill>
              <w14:schemeClr w14:val="tx1"/>
            </w14:solidFill>
          </w14:textFill>
        </w:rPr>
        <w:t>）</w:t>
      </w:r>
    </w:p>
    <w:p w14:paraId="06BFFD77">
      <w:pPr>
        <w:snapToGrid w:val="0"/>
        <w:spacing w:line="360" w:lineRule="auto"/>
        <w:ind w:left="210" w:leftChars="100"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报价文件</w:t>
      </w:r>
    </w:p>
    <w:p w14:paraId="41237F30">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.1开标一览表（报价表）；</w:t>
      </w:r>
    </w:p>
    <w:p w14:paraId="10973150">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2报价说明</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如有</w:t>
      </w:r>
      <w:r>
        <w:rPr>
          <w:rFonts w:hint="eastAsia" w:ascii="宋体" w:hAnsi="宋体" w:eastAsia="宋体" w:cs="宋体"/>
          <w:color w:val="000000" w:themeColor="text1"/>
          <w:sz w:val="24"/>
          <w:highlight w:val="none"/>
          <w14:textFill>
            <w14:solidFill>
              <w14:schemeClr w14:val="tx1"/>
            </w14:solidFill>
          </w14:textFill>
        </w:rPr>
        <w:t>）。</w:t>
      </w:r>
    </w:p>
    <w:p w14:paraId="0555EDE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3、我方承诺响应招标文件的全部要求。</w:t>
      </w:r>
    </w:p>
    <w:p w14:paraId="3DEF87C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78E9D447">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237E4C17">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07A412CF">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在合同约定的期限内完成合同规定的全部义务。 </w:t>
      </w:r>
    </w:p>
    <w:p w14:paraId="1F96229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282493CE">
      <w:pPr>
        <w:spacing w:line="360" w:lineRule="auto"/>
        <w:ind w:firstLine="4320" w:firstLineChars="1800"/>
        <w:rPr>
          <w:rFonts w:hint="eastAsia" w:ascii="宋体" w:hAnsi="宋体" w:eastAsia="宋体" w:cs="宋体"/>
          <w:color w:val="000000" w:themeColor="text1"/>
          <w:sz w:val="24"/>
          <w:highlight w:val="none"/>
          <w14:textFill>
            <w14:solidFill>
              <w14:schemeClr w14:val="tx1"/>
            </w14:solidFill>
          </w14:textFill>
        </w:rPr>
      </w:pPr>
    </w:p>
    <w:p w14:paraId="0203E639">
      <w:pPr>
        <w:spacing w:line="360" w:lineRule="auto"/>
        <w:ind w:firstLine="4320" w:firstLineChars="18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20BA34B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w:t>
      </w:r>
    </w:p>
    <w:p w14:paraId="4373D51A">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lang w:val="zh-CN"/>
          <w14:textFill>
            <w14:solidFill>
              <w14:schemeClr w14:val="tx1"/>
            </w14:solidFill>
          </w14:textFill>
        </w:rPr>
      </w:pPr>
    </w:p>
    <w:p w14:paraId="2606783A">
      <w:pPr>
        <w:jc w:val="both"/>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359EEB8">
      <w:pPr>
        <w:rPr>
          <w:rFonts w:hint="eastAsia" w:ascii="宋体" w:hAnsi="宋体" w:eastAsia="宋体" w:cs="宋体"/>
          <w:color w:val="000000" w:themeColor="text1"/>
          <w:highlight w:val="none"/>
          <w:lang w:val="zh-CN"/>
          <w14:textFill>
            <w14:solidFill>
              <w14:schemeClr w14:val="tx1"/>
            </w14:solidFill>
          </w14:textFill>
        </w:rPr>
      </w:pPr>
    </w:p>
    <w:p w14:paraId="05B94802">
      <w:pPr>
        <w:rPr>
          <w:rFonts w:hint="eastAsia" w:ascii="宋体" w:hAnsi="宋体" w:eastAsia="宋体" w:cs="宋体"/>
          <w:color w:val="000000" w:themeColor="text1"/>
          <w:highlight w:val="none"/>
          <w:lang w:val="zh-CN"/>
          <w14:textFill>
            <w14:solidFill>
              <w14:schemeClr w14:val="tx1"/>
            </w14:solidFill>
          </w14:textFill>
        </w:rPr>
      </w:pPr>
    </w:p>
    <w:p w14:paraId="6E232A12">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、法定代表人身份证明</w:t>
      </w:r>
      <w:r>
        <w:rPr>
          <w:rFonts w:hint="eastAsia" w:ascii="宋体" w:hAnsi="宋体" w:cs="宋体"/>
          <w:b/>
          <w:color w:val="000000" w:themeColor="text1"/>
          <w:kern w:val="0"/>
          <w:sz w:val="32"/>
          <w:szCs w:val="32"/>
          <w:highlight w:val="none"/>
          <w:lang w:val="en-US" w:eastAsia="zh-CN"/>
          <w14:textFill>
            <w14:solidFill>
              <w14:schemeClr w14:val="tx1"/>
            </w14:solidFill>
          </w14:textFill>
        </w:rPr>
        <w:t>或</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w:t>
      </w:r>
      <w:r>
        <w:rPr>
          <w:rFonts w:hint="eastAsia" w:ascii="宋体" w:hAnsi="宋体" w:eastAsia="宋体" w:cs="宋体"/>
          <w:color w:val="000000" w:themeColor="text1"/>
          <w:sz w:val="24"/>
          <w:highlight w:val="none"/>
          <w14:textFill>
            <w14:solidFill>
              <w14:schemeClr w14:val="tx1"/>
            </w14:solidFill>
          </w14:textFill>
        </w:rPr>
        <w:t xml:space="preserve"> </w:t>
      </w:r>
    </w:p>
    <w:p w14:paraId="56DE346D">
      <w:pPr>
        <w:snapToGrid w:val="0"/>
        <w:spacing w:line="360" w:lineRule="auto"/>
        <w:ind w:firstLine="2505" w:firstLineChars="1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10E3D44D">
      <w:pP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法定代表人身份证明书</w:t>
      </w:r>
    </w:p>
    <w:p w14:paraId="567B820F">
      <w:pPr>
        <w:pStyle w:val="37"/>
        <w:rPr>
          <w:rFonts w:hint="eastAsia"/>
          <w:color w:val="000000" w:themeColor="text1"/>
          <w:highlight w:val="none"/>
          <w14:textFill>
            <w14:solidFill>
              <w14:schemeClr w14:val="tx1"/>
            </w14:solidFill>
          </w14:textFill>
        </w:rPr>
      </w:pPr>
    </w:p>
    <w:p w14:paraId="36EDE941">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063E0126">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7617063A">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17F58A22">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电话号码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0FC5F090">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0E918A96">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经营期限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655A751D">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性别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5076E6F0">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的法定代表人。</w:t>
      </w:r>
    </w:p>
    <w:p w14:paraId="03AE6F96">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14:paraId="3968FA49">
      <w:pPr>
        <w:pStyle w:val="37"/>
        <w:rPr>
          <w:rFonts w:hint="eastAsia"/>
          <w:color w:val="000000" w:themeColor="text1"/>
          <w:sz w:val="20"/>
          <w:szCs w:val="20"/>
          <w:highlight w:val="none"/>
          <w14:textFill>
            <w14:solidFill>
              <w14:schemeClr w14:val="tx1"/>
            </w14:solidFill>
          </w14:textFill>
        </w:rPr>
      </w:pPr>
    </w:p>
    <w:p w14:paraId="3DC34C5A">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附：法人身份证</w:t>
      </w:r>
    </w:p>
    <w:tbl>
      <w:tblPr>
        <w:tblStyle w:val="62"/>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2094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8328" w:type="dxa"/>
          </w:tcPr>
          <w:p w14:paraId="095E9FD0">
            <w:pPr>
              <w:pStyle w:val="153"/>
              <w:adjustRightInd w:val="0"/>
              <w:spacing w:line="360" w:lineRule="auto"/>
              <w:rPr>
                <w:rFonts w:hint="eastAsia" w:ascii="宋体" w:hAnsi="宋体" w:eastAsia="宋体" w:cs="宋体"/>
                <w:bCs/>
                <w:color w:val="000000" w:themeColor="text1"/>
                <w:sz w:val="24"/>
                <w:szCs w:val="21"/>
                <w:highlight w:val="none"/>
                <w14:textFill>
                  <w14:solidFill>
                    <w14:schemeClr w14:val="tx1"/>
                  </w14:solidFill>
                </w14:textFill>
              </w:rPr>
            </w:pPr>
            <w:r>
              <w:rPr>
                <w:rFonts w:hint="eastAsia" w:ascii="宋体" w:hAnsi="宋体" w:eastAsia="宋体" w:cs="宋体"/>
                <w:bCs/>
                <w:color w:val="000000" w:themeColor="text1"/>
                <w:sz w:val="24"/>
                <w:szCs w:val="21"/>
                <w:highlight w:val="none"/>
                <w14:textFill>
                  <w14:solidFill>
                    <w14:schemeClr w14:val="tx1"/>
                  </w14:solidFill>
                </w14:textFill>
              </w:rPr>
              <w:t>正面：                                 反面：</w:t>
            </w:r>
          </w:p>
          <w:p w14:paraId="661F7C85">
            <w:pPr>
              <w:pStyle w:val="153"/>
              <w:adjustRightInd w:val="0"/>
              <w:spacing w:line="360" w:lineRule="auto"/>
              <w:rPr>
                <w:rFonts w:hint="eastAsia" w:ascii="宋体" w:hAnsi="宋体" w:eastAsia="宋体" w:cs="宋体"/>
                <w:bCs/>
                <w:color w:val="000000" w:themeColor="text1"/>
                <w:sz w:val="22"/>
                <w:szCs w:val="20"/>
                <w:highlight w:val="none"/>
                <w14:textFill>
                  <w14:solidFill>
                    <w14:schemeClr w14:val="tx1"/>
                  </w14:solidFill>
                </w14:textFill>
              </w:rPr>
            </w:pPr>
          </w:p>
        </w:tc>
      </w:tr>
    </w:tbl>
    <w:p w14:paraId="12508D6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0B26F965">
      <w:pPr>
        <w:spacing w:line="360" w:lineRule="auto"/>
        <w:ind w:left="4549" w:leftChars="2052" w:hanging="240" w:hanging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52DB4093">
      <w:pPr>
        <w:snapToGrid w:val="0"/>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日期：</w:t>
      </w:r>
    </w:p>
    <w:p w14:paraId="1DB5C35F">
      <w:pPr>
        <w:snapToGrid w:val="0"/>
        <w:spacing w:line="360" w:lineRule="auto"/>
        <w:ind w:firstLine="2505" w:firstLineChars="1193"/>
        <w:rPr>
          <w:rFonts w:hint="eastAsia" w:ascii="宋体" w:hAnsi="宋体" w:eastAsia="宋体" w:cs="宋体"/>
          <w:color w:val="000000" w:themeColor="text1"/>
          <w:highlight w:val="none"/>
          <w14:textFill>
            <w14:solidFill>
              <w14:schemeClr w14:val="tx1"/>
            </w14:solidFill>
          </w14:textFill>
        </w:rPr>
      </w:pPr>
    </w:p>
    <w:p w14:paraId="57380633">
      <w:pPr>
        <w:snapToGrid w:val="0"/>
        <w:spacing w:line="360" w:lineRule="auto"/>
        <w:ind w:firstLine="2505" w:firstLineChars="1193"/>
        <w:rPr>
          <w:rFonts w:hint="eastAsia" w:ascii="宋体" w:hAnsi="宋体" w:eastAsia="宋体" w:cs="宋体"/>
          <w:color w:val="000000" w:themeColor="text1"/>
          <w:highlight w:val="none"/>
          <w14:textFill>
            <w14:solidFill>
              <w14:schemeClr w14:val="tx1"/>
            </w14:solidFill>
          </w14:textFill>
        </w:rPr>
      </w:pPr>
    </w:p>
    <w:p w14:paraId="7A98CCE3">
      <w:pPr>
        <w:snapToGrid w:val="0"/>
        <w:spacing w:line="360" w:lineRule="auto"/>
        <w:ind w:firstLine="2505" w:firstLineChars="1193"/>
        <w:rPr>
          <w:rFonts w:hint="eastAsia" w:ascii="宋体" w:hAnsi="宋体" w:eastAsia="宋体" w:cs="宋体"/>
          <w:color w:val="000000" w:themeColor="text1"/>
          <w:highlight w:val="none"/>
          <w14:textFill>
            <w14:solidFill>
              <w14:schemeClr w14:val="tx1"/>
            </w14:solidFill>
          </w14:textFill>
        </w:rPr>
      </w:pPr>
    </w:p>
    <w:p w14:paraId="63EF46AF">
      <w:pPr>
        <w:snapToGrid w:val="0"/>
        <w:spacing w:line="360" w:lineRule="auto"/>
        <w:ind w:firstLine="2505" w:firstLineChars="1193"/>
        <w:rPr>
          <w:rFonts w:hint="eastAsia" w:ascii="宋体" w:hAnsi="宋体" w:eastAsia="宋体" w:cs="宋体"/>
          <w:color w:val="000000" w:themeColor="text1"/>
          <w:highlight w:val="none"/>
          <w14:textFill>
            <w14:solidFill>
              <w14:schemeClr w14:val="tx1"/>
            </w14:solidFill>
          </w14:textFill>
        </w:rPr>
      </w:pPr>
    </w:p>
    <w:p w14:paraId="3F12D9FC">
      <w:pPr>
        <w:snapToGrid w:val="0"/>
        <w:spacing w:line="360" w:lineRule="auto"/>
        <w:ind w:firstLine="2505" w:firstLineChars="1193"/>
        <w:rPr>
          <w:rFonts w:hint="eastAsia" w:ascii="宋体" w:hAnsi="宋体" w:eastAsia="宋体" w:cs="宋体"/>
          <w:color w:val="000000" w:themeColor="text1"/>
          <w:highlight w:val="none"/>
          <w14:textFill>
            <w14:solidFill>
              <w14:schemeClr w14:val="tx1"/>
            </w14:solidFill>
          </w14:textFill>
        </w:rPr>
      </w:pPr>
    </w:p>
    <w:p w14:paraId="61409DB1">
      <w:pPr>
        <w:snapToGrid w:val="0"/>
        <w:spacing w:line="360" w:lineRule="auto"/>
        <w:ind w:firstLine="3833" w:firstLineChars="1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w:t>
      </w:r>
      <w:r>
        <w:rPr>
          <w:rFonts w:hint="eastAsia" w:ascii="宋体" w:hAnsi="宋体" w:eastAsia="宋体" w:cs="宋体"/>
          <w:color w:val="000000" w:themeColor="text1"/>
          <w:highlight w:val="none"/>
          <w14:textFill>
            <w14:solidFill>
              <w14:schemeClr w14:val="tx1"/>
            </w14:solidFill>
          </w14:textFill>
        </w:rPr>
        <w:t xml:space="preserve">                     </w:t>
      </w:r>
    </w:p>
    <w:p w14:paraId="04D600A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杭州恒城工程管理有限公司</w:t>
      </w:r>
      <w:r>
        <w:rPr>
          <w:rFonts w:hint="eastAsia" w:ascii="宋体" w:hAnsi="宋体" w:eastAsia="宋体" w:cs="宋体"/>
          <w:color w:val="000000" w:themeColor="text1"/>
          <w:sz w:val="24"/>
          <w:highlight w:val="none"/>
          <w14:textFill>
            <w14:solidFill>
              <w14:schemeClr w14:val="tx1"/>
            </w14:solidFill>
          </w14:textFill>
        </w:rPr>
        <w:t>：</w:t>
      </w:r>
    </w:p>
    <w:p w14:paraId="666C51AF">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2025年桐庐县青少年宫消防维保单位采购项目</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HZHC-TL2025XJ-007</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采购投标的一切事项，其法律后果由我方承担。</w:t>
      </w:r>
    </w:p>
    <w:p w14:paraId="5E8BA73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2B37B013">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4DAB0CA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54A73A5">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w:t>
      </w:r>
      <w:r>
        <w:rPr>
          <w:rFonts w:hint="eastAsia" w:ascii="宋体" w:hAnsi="宋体" w:cs="宋体"/>
          <w:b/>
          <w:color w:val="000000" w:themeColor="text1"/>
          <w:kern w:val="0"/>
          <w:sz w:val="32"/>
          <w:szCs w:val="32"/>
          <w:highlight w:val="none"/>
          <w:lang w:val="zh-CN"/>
          <w14:textFill>
            <w14:solidFill>
              <w14:schemeClr w14:val="tx1"/>
            </w14:solidFill>
          </w14:textFill>
        </w:rPr>
        <w:t>或</w:t>
      </w:r>
      <w:r>
        <w:rPr>
          <w:rFonts w:hint="eastAsia" w:ascii="宋体" w:hAnsi="宋体" w:eastAsia="宋体" w:cs="宋体"/>
          <w:b/>
          <w:color w:val="000000" w:themeColor="text1"/>
          <w:kern w:val="0"/>
          <w:sz w:val="32"/>
          <w:szCs w:val="32"/>
          <w:highlight w:val="none"/>
          <w:lang w:val="zh-CN"/>
          <w14:textFill>
            <w14:solidFill>
              <w14:schemeClr w14:val="tx1"/>
            </w14:solidFill>
          </w14:textFill>
        </w:rPr>
        <w:t>单位负责人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的身份证明（适用于法定代表人或者单位负责人本人代表</w:t>
      </w:r>
      <w:r>
        <w:rPr>
          <w:rFonts w:hint="eastAsia" w:ascii="宋体" w:hAnsi="宋体" w:cs="宋体"/>
          <w:b/>
          <w:color w:val="000000" w:themeColor="text1"/>
          <w:sz w:val="30"/>
          <w:szCs w:val="30"/>
          <w:highlight w:val="none"/>
          <w:lang w:eastAsia="zh-CN"/>
          <w14:textFill>
            <w14:solidFill>
              <w14:schemeClr w14:val="tx1"/>
            </w14:solidFill>
          </w14:textFill>
        </w:rPr>
        <w:t>投标单位</w:t>
      </w:r>
      <w:r>
        <w:rPr>
          <w:rFonts w:hint="eastAsia" w:ascii="宋体" w:hAnsi="宋体" w:eastAsia="宋体" w:cs="宋体"/>
          <w:b/>
          <w:color w:val="000000" w:themeColor="text1"/>
          <w:sz w:val="30"/>
          <w:szCs w:val="30"/>
          <w:highlight w:val="none"/>
          <w14:textFill>
            <w14:solidFill>
              <w14:schemeClr w14:val="tx1"/>
            </w14:solidFill>
          </w14:textFill>
        </w:rPr>
        <w:t>参加投标）</w:t>
      </w:r>
    </w:p>
    <w:p w14:paraId="5B5D2B69">
      <w:pPr>
        <w:snapToGrid w:val="0"/>
        <w:spacing w:line="360" w:lineRule="auto"/>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法人身份证</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CB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3F16846C">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6A4FAC10">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48C7F046">
      <w:pPr>
        <w:keepNext w:val="0"/>
        <w:keepLines w:val="0"/>
        <w:pageBreakBefore w:val="0"/>
        <w:widowControl w:val="0"/>
        <w:kinsoku/>
        <w:wordWrap/>
        <w:overflowPunct/>
        <w:topLinePunct w:val="0"/>
        <w:autoSpaceDE/>
        <w:autoSpaceDN/>
        <w:bidi w:val="0"/>
        <w:adjustRightInd w:val="0"/>
        <w:snapToGrid w:val="0"/>
        <w:spacing w:before="313" w:beforeLines="100" w:line="360" w:lineRule="auto"/>
        <w:ind w:left="0" w:leftChars="0" w:firstLine="0" w:firstLine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授权代表身份证</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9A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4E1AE992">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19A833D5">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70692219">
      <w:pPr>
        <w:tabs>
          <w:tab w:val="left" w:pos="4860"/>
        </w:tabs>
        <w:spacing w:line="360" w:lineRule="auto"/>
        <w:ind w:right="1560"/>
        <w:jc w:val="both"/>
        <w:rPr>
          <w:rFonts w:hint="eastAsia" w:ascii="宋体" w:hAnsi="宋体" w:eastAsia="宋体" w:cs="宋体"/>
          <w:color w:val="000000" w:themeColor="text1"/>
          <w:highlight w:val="none"/>
          <w14:textFill>
            <w14:solidFill>
              <w14:schemeClr w14:val="tx1"/>
            </w14:solidFill>
          </w14:textFill>
        </w:rPr>
      </w:pPr>
    </w:p>
    <w:p w14:paraId="1E3A528B">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C7CF571">
      <w:pPr>
        <w:spacing w:line="360" w:lineRule="auto"/>
        <w:ind w:firstLine="4320" w:firstLineChars="18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74940B14">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w:t>
      </w:r>
    </w:p>
    <w:p w14:paraId="023FA222">
      <w:pP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p>
    <w:p w14:paraId="4640B661">
      <w:pPr>
        <w:jc w:val="center"/>
        <w:rPr>
          <w:rFonts w:hint="eastAsia" w:ascii="宋体" w:hAnsi="宋体" w:cs="宋体"/>
          <w:b/>
          <w:color w:val="000000" w:themeColor="text1"/>
          <w:kern w:val="0"/>
          <w:sz w:val="32"/>
          <w:szCs w:val="32"/>
          <w:highlight w:val="none"/>
          <w:lang w:val="en-US" w:eastAsia="zh-CN"/>
          <w14:textFill>
            <w14:solidFill>
              <w14:schemeClr w14:val="tx1"/>
            </w14:solidFill>
          </w14:textFill>
        </w:rPr>
      </w:pPr>
    </w:p>
    <w:p w14:paraId="55F3C864">
      <w:pPr>
        <w:jc w:val="center"/>
        <w:rPr>
          <w:rFonts w:hint="default"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en-US" w:eastAsia="zh-CN"/>
          <w14:textFill>
            <w14:solidFill>
              <w14:schemeClr w14:val="tx1"/>
            </w14:solidFill>
          </w14:textFill>
        </w:rPr>
        <w:t>企业营业执照</w:t>
      </w:r>
    </w:p>
    <w:p w14:paraId="3754398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154C0C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D94720B">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212E9244">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4482D77C">
      <w:pPr>
        <w:pStyle w:val="83"/>
        <w:rPr>
          <w:rFonts w:hint="eastAsia" w:ascii="宋体" w:hAnsi="宋体" w:eastAsia="宋体" w:cs="宋体"/>
          <w:b/>
          <w:bCs/>
          <w:color w:val="000000" w:themeColor="text1"/>
          <w:sz w:val="24"/>
          <w:highlight w:val="none"/>
          <w14:textFill>
            <w14:solidFill>
              <w14:schemeClr w14:val="tx1"/>
            </w14:solidFill>
          </w14:textFill>
        </w:rPr>
      </w:pPr>
    </w:p>
    <w:p w14:paraId="3A8A20E5">
      <w:pPr>
        <w:pStyle w:val="83"/>
        <w:rPr>
          <w:rFonts w:hint="eastAsia" w:ascii="宋体" w:hAnsi="宋体" w:eastAsia="宋体" w:cs="宋体"/>
          <w:b/>
          <w:bCs/>
          <w:color w:val="000000" w:themeColor="text1"/>
          <w:sz w:val="24"/>
          <w:highlight w:val="none"/>
          <w14:textFill>
            <w14:solidFill>
              <w14:schemeClr w14:val="tx1"/>
            </w14:solidFill>
          </w14:textFill>
        </w:rPr>
      </w:pPr>
    </w:p>
    <w:p w14:paraId="5869B82A">
      <w:pPr>
        <w:pStyle w:val="83"/>
        <w:rPr>
          <w:rFonts w:hint="eastAsia" w:ascii="宋体" w:hAnsi="宋体" w:eastAsia="宋体" w:cs="宋体"/>
          <w:b/>
          <w:bCs/>
          <w:color w:val="000000" w:themeColor="text1"/>
          <w:sz w:val="24"/>
          <w:highlight w:val="none"/>
          <w14:textFill>
            <w14:solidFill>
              <w14:schemeClr w14:val="tx1"/>
            </w14:solidFill>
          </w14:textFill>
        </w:rPr>
      </w:pPr>
    </w:p>
    <w:p w14:paraId="529359C1">
      <w:pPr>
        <w:pStyle w:val="83"/>
        <w:rPr>
          <w:rFonts w:hint="eastAsia" w:ascii="宋体" w:hAnsi="宋体" w:eastAsia="宋体" w:cs="宋体"/>
          <w:b/>
          <w:bCs/>
          <w:color w:val="000000" w:themeColor="text1"/>
          <w:sz w:val="24"/>
          <w:highlight w:val="none"/>
          <w14:textFill>
            <w14:solidFill>
              <w14:schemeClr w14:val="tx1"/>
            </w14:solidFill>
          </w14:textFill>
        </w:rPr>
      </w:pPr>
    </w:p>
    <w:p w14:paraId="1E82DF20">
      <w:pPr>
        <w:pStyle w:val="83"/>
        <w:rPr>
          <w:rFonts w:hint="eastAsia" w:ascii="宋体" w:hAnsi="宋体" w:eastAsia="宋体" w:cs="宋体"/>
          <w:b/>
          <w:bCs/>
          <w:color w:val="000000" w:themeColor="text1"/>
          <w:sz w:val="24"/>
          <w:highlight w:val="none"/>
          <w14:textFill>
            <w14:solidFill>
              <w14:schemeClr w14:val="tx1"/>
            </w14:solidFill>
          </w14:textFill>
        </w:rPr>
      </w:pPr>
    </w:p>
    <w:p w14:paraId="1A9DA812">
      <w:pPr>
        <w:pStyle w:val="83"/>
        <w:rPr>
          <w:rFonts w:hint="eastAsia" w:ascii="宋体" w:hAnsi="宋体" w:eastAsia="宋体" w:cs="宋体"/>
          <w:b/>
          <w:bCs/>
          <w:color w:val="000000" w:themeColor="text1"/>
          <w:sz w:val="24"/>
          <w:highlight w:val="none"/>
          <w14:textFill>
            <w14:solidFill>
              <w14:schemeClr w14:val="tx1"/>
            </w14:solidFill>
          </w14:textFill>
        </w:rPr>
      </w:pPr>
    </w:p>
    <w:p w14:paraId="79064673">
      <w:pPr>
        <w:pStyle w:val="83"/>
        <w:rPr>
          <w:rFonts w:hint="eastAsia" w:ascii="宋体" w:hAnsi="宋体" w:eastAsia="宋体" w:cs="宋体"/>
          <w:b/>
          <w:bCs/>
          <w:color w:val="000000" w:themeColor="text1"/>
          <w:sz w:val="24"/>
          <w:highlight w:val="none"/>
          <w14:textFill>
            <w14:solidFill>
              <w14:schemeClr w14:val="tx1"/>
            </w14:solidFill>
          </w14:textFill>
        </w:rPr>
      </w:pPr>
    </w:p>
    <w:p w14:paraId="4E88F2D5">
      <w:pPr>
        <w:pStyle w:val="83"/>
        <w:rPr>
          <w:rFonts w:hint="eastAsia" w:ascii="宋体" w:hAnsi="宋体" w:eastAsia="宋体" w:cs="宋体"/>
          <w:b/>
          <w:bCs/>
          <w:color w:val="000000" w:themeColor="text1"/>
          <w:sz w:val="24"/>
          <w:highlight w:val="none"/>
          <w14:textFill>
            <w14:solidFill>
              <w14:schemeClr w14:val="tx1"/>
            </w14:solidFill>
          </w14:textFill>
        </w:rPr>
      </w:pPr>
    </w:p>
    <w:p w14:paraId="6F499AC4">
      <w:pPr>
        <w:pStyle w:val="83"/>
        <w:rPr>
          <w:rFonts w:hint="eastAsia" w:ascii="宋体" w:hAnsi="宋体" w:eastAsia="宋体" w:cs="宋体"/>
          <w:b/>
          <w:bCs/>
          <w:color w:val="000000" w:themeColor="text1"/>
          <w:sz w:val="24"/>
          <w:highlight w:val="none"/>
          <w14:textFill>
            <w14:solidFill>
              <w14:schemeClr w14:val="tx1"/>
            </w14:solidFill>
          </w14:textFill>
        </w:rPr>
      </w:pPr>
    </w:p>
    <w:p w14:paraId="5D5242E4">
      <w:pPr>
        <w:pStyle w:val="83"/>
        <w:rPr>
          <w:rFonts w:hint="eastAsia" w:ascii="宋体" w:hAnsi="宋体" w:eastAsia="宋体" w:cs="宋体"/>
          <w:b/>
          <w:bCs/>
          <w:color w:val="000000" w:themeColor="text1"/>
          <w:sz w:val="24"/>
          <w:highlight w:val="none"/>
          <w14:textFill>
            <w14:solidFill>
              <w14:schemeClr w14:val="tx1"/>
            </w14:solidFill>
          </w14:textFill>
        </w:rPr>
      </w:pPr>
    </w:p>
    <w:p w14:paraId="343FA054">
      <w:pPr>
        <w:pStyle w:val="83"/>
        <w:rPr>
          <w:rFonts w:hint="eastAsia" w:ascii="宋体" w:hAnsi="宋体" w:eastAsia="宋体" w:cs="宋体"/>
          <w:b/>
          <w:bCs/>
          <w:color w:val="000000" w:themeColor="text1"/>
          <w:sz w:val="24"/>
          <w:highlight w:val="none"/>
          <w14:textFill>
            <w14:solidFill>
              <w14:schemeClr w14:val="tx1"/>
            </w14:solidFill>
          </w14:textFill>
        </w:rPr>
      </w:pPr>
    </w:p>
    <w:p w14:paraId="44E84384">
      <w:pPr>
        <w:pStyle w:val="83"/>
        <w:rPr>
          <w:rFonts w:hint="eastAsia" w:ascii="宋体" w:hAnsi="宋体" w:eastAsia="宋体" w:cs="宋体"/>
          <w:b/>
          <w:bCs/>
          <w:color w:val="000000" w:themeColor="text1"/>
          <w:sz w:val="24"/>
          <w:highlight w:val="none"/>
          <w14:textFill>
            <w14:solidFill>
              <w14:schemeClr w14:val="tx1"/>
            </w14:solidFill>
          </w14:textFill>
        </w:rPr>
      </w:pPr>
    </w:p>
    <w:p w14:paraId="3276BE57">
      <w:pPr>
        <w:pStyle w:val="83"/>
        <w:numPr>
          <w:ilvl w:val="0"/>
          <w:numId w:val="0"/>
        </w:numPr>
        <w:ind w:leftChars="0"/>
        <w:jc w:val="both"/>
        <w:rPr>
          <w:rFonts w:hint="eastAsia" w:cs="宋体"/>
          <w:b/>
          <w:color w:val="000000" w:themeColor="text1"/>
          <w:kern w:val="0"/>
          <w:sz w:val="32"/>
          <w:szCs w:val="32"/>
          <w:highlight w:val="none"/>
          <w:lang w:val="en-US" w:eastAsia="zh-CN" w:bidi="ar-SA"/>
          <w14:textFill>
            <w14:solidFill>
              <w14:schemeClr w14:val="tx1"/>
            </w14:solidFill>
          </w14:textFill>
        </w:rPr>
      </w:pPr>
    </w:p>
    <w:p w14:paraId="3DA03F1A">
      <w:pPr>
        <w:pStyle w:val="83"/>
        <w:numPr>
          <w:ilvl w:val="0"/>
          <w:numId w:val="0"/>
        </w:numPr>
        <w:ind w:leftChars="0"/>
        <w:jc w:val="both"/>
        <w:rPr>
          <w:rFonts w:hint="eastAsia" w:cs="宋体"/>
          <w:b/>
          <w:color w:val="000000" w:themeColor="text1"/>
          <w:kern w:val="0"/>
          <w:sz w:val="32"/>
          <w:szCs w:val="32"/>
          <w:highlight w:val="none"/>
          <w:lang w:val="en-US" w:eastAsia="zh-CN" w:bidi="ar-SA"/>
          <w14:textFill>
            <w14:solidFill>
              <w14:schemeClr w14:val="tx1"/>
            </w14:solidFill>
          </w14:textFill>
        </w:rPr>
      </w:pPr>
    </w:p>
    <w:p w14:paraId="1E37D532">
      <w:pPr>
        <w:pStyle w:val="83"/>
        <w:numPr>
          <w:ilvl w:val="0"/>
          <w:numId w:val="0"/>
        </w:numPr>
        <w:ind w:leftChars="0"/>
        <w:jc w:val="center"/>
        <w:rPr>
          <w:rFonts w:hint="eastAsia" w:ascii="宋体" w:hAnsi="宋体" w:eastAsia="宋体" w:cs="宋体"/>
          <w:b/>
          <w:color w:val="000000" w:themeColor="text1"/>
          <w:kern w:val="0"/>
          <w:sz w:val="32"/>
          <w:szCs w:val="32"/>
          <w:highlight w:val="none"/>
          <w:lang w:val="en-US" w:eastAsia="zh-CN" w:bidi="ar-SA"/>
          <w14:textFill>
            <w14:solidFill>
              <w14:schemeClr w14:val="tx1"/>
            </w14:solidFill>
          </w14:textFill>
        </w:rPr>
      </w:pPr>
      <w:r>
        <w:rPr>
          <w:rFonts w:hint="eastAsia" w:cs="宋体"/>
          <w:b/>
          <w:color w:val="000000" w:themeColor="text1"/>
          <w:kern w:val="0"/>
          <w:sz w:val="32"/>
          <w:szCs w:val="32"/>
          <w:highlight w:val="none"/>
          <w:lang w:val="en-US" w:eastAsia="zh-CN" w:bidi="ar-SA"/>
          <w14:textFill>
            <w14:solidFill>
              <w14:schemeClr w14:val="tx1"/>
            </w14:solidFill>
          </w14:textFill>
        </w:rPr>
        <w:t>七、</w:t>
      </w:r>
      <w:r>
        <w:rPr>
          <w:rFonts w:hint="eastAsia" w:ascii="宋体" w:hAnsi="宋体" w:eastAsia="宋体" w:cs="宋体"/>
          <w:b/>
          <w:color w:val="000000" w:themeColor="text1"/>
          <w:kern w:val="0"/>
          <w:sz w:val="32"/>
          <w:szCs w:val="32"/>
          <w:highlight w:val="none"/>
          <w:lang w:val="zh-CN" w:eastAsia="zh-CN" w:bidi="ar-SA"/>
          <w14:textFill>
            <w14:solidFill>
              <w14:schemeClr w14:val="tx1"/>
            </w14:solidFill>
          </w14:textFill>
        </w:rPr>
        <w:t>本项目的特定资格要求</w:t>
      </w:r>
      <w:r>
        <w:rPr>
          <w:rFonts w:hint="eastAsia" w:cs="宋体"/>
          <w:b/>
          <w:color w:val="000000" w:themeColor="text1"/>
          <w:kern w:val="0"/>
          <w:sz w:val="32"/>
          <w:szCs w:val="32"/>
          <w:highlight w:val="none"/>
          <w:lang w:val="zh-CN" w:eastAsia="zh-CN" w:bidi="ar-SA"/>
          <w14:textFill>
            <w14:solidFill>
              <w14:schemeClr w14:val="tx1"/>
            </w14:solidFill>
          </w14:textFill>
        </w:rPr>
        <w:t>（</w:t>
      </w:r>
      <w:r>
        <w:rPr>
          <w:rFonts w:hint="eastAsia" w:cs="宋体"/>
          <w:b/>
          <w:color w:val="000000" w:themeColor="text1"/>
          <w:kern w:val="0"/>
          <w:sz w:val="32"/>
          <w:szCs w:val="32"/>
          <w:highlight w:val="none"/>
          <w:lang w:val="en-US" w:eastAsia="zh-CN" w:bidi="ar-SA"/>
          <w14:textFill>
            <w14:solidFill>
              <w14:schemeClr w14:val="tx1"/>
            </w14:solidFill>
          </w14:textFill>
        </w:rPr>
        <w:t>如有）</w:t>
      </w:r>
    </w:p>
    <w:p w14:paraId="30ABBD6F">
      <w:pPr>
        <w:pStyle w:val="83"/>
        <w:numPr>
          <w:ilvl w:val="0"/>
          <w:numId w:val="0"/>
        </w:numPr>
        <w:ind w:leftChars="0"/>
        <w:jc w:val="both"/>
        <w:rPr>
          <w:rFonts w:hint="eastAsia" w:ascii="宋体" w:hAnsi="宋体" w:eastAsia="宋体" w:cs="宋体"/>
          <w:b/>
          <w:color w:val="000000" w:themeColor="text1"/>
          <w:kern w:val="0"/>
          <w:sz w:val="36"/>
          <w:szCs w:val="36"/>
          <w:highlight w:val="none"/>
          <w14:textFill>
            <w14:solidFill>
              <w14:schemeClr w14:val="tx1"/>
            </w14:solidFill>
          </w14:textFill>
        </w:rPr>
      </w:pPr>
    </w:p>
    <w:p w14:paraId="442B0056">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2EF07A79">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1E513E35">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AF672C2">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74548427">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7A30088B">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AB9075D">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1B1A5A5E">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1537C7A4">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13A88AEC">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1F1B0FF4">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105EA16D">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724A584A">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55DEE569">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BCFE4D7">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444327DD">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34DF233F">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403B2D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14:paraId="0AB0A0E8">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报价说明</w:t>
      </w:r>
      <w:r>
        <w:rPr>
          <w:rFonts w:hint="eastAsia" w:ascii="宋体" w:hAnsi="宋体" w:eastAsia="宋体" w:cs="宋体"/>
          <w:color w:val="000000" w:themeColor="text1"/>
          <w:sz w:val="24"/>
          <w:highlight w:val="none"/>
          <w14:textFill>
            <w14:solidFill>
              <w14:schemeClr w14:val="tx1"/>
            </w14:solidFill>
          </w14:textFill>
        </w:rPr>
        <w:t>……………………………………………………………………（页码）</w:t>
      </w:r>
    </w:p>
    <w:p w14:paraId="11AFFB8E">
      <w:pPr>
        <w:pStyle w:val="27"/>
        <w:rPr>
          <w:rFonts w:hint="eastAsia" w:ascii="宋体" w:hAnsi="宋体" w:eastAsia="宋体" w:cs="宋体"/>
          <w:color w:val="000000" w:themeColor="text1"/>
          <w:highlight w:val="none"/>
          <w14:textFill>
            <w14:solidFill>
              <w14:schemeClr w14:val="tx1"/>
            </w14:solidFill>
          </w14:textFill>
        </w:rPr>
      </w:pPr>
    </w:p>
    <w:p w14:paraId="1CEAA425">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0DB20B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67BADA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6EC0C6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BA30EC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ECA34B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D1BCD5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E6674C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709770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FAE684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140A3D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F22838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4F639F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A16E952">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3BA38FDE">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72EA3E1F">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42B614FB">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4B05FB04">
      <w:pPr>
        <w:pStyle w:val="26"/>
        <w:rPr>
          <w:rFonts w:hint="eastAsia"/>
          <w:color w:val="000000" w:themeColor="text1"/>
          <w:highlight w:val="none"/>
          <w:lang w:eastAsia="zh-CN"/>
          <w14:textFill>
            <w14:solidFill>
              <w14:schemeClr w14:val="tx1"/>
            </w14:solidFill>
          </w14:textFill>
        </w:rPr>
      </w:pPr>
    </w:p>
    <w:p w14:paraId="6D0CBC1D">
      <w:pPr>
        <w:pStyle w:val="27"/>
        <w:rPr>
          <w:rFonts w:hint="eastAsia"/>
          <w:color w:val="000000" w:themeColor="text1"/>
          <w:highlight w:val="none"/>
          <w:lang w:eastAsia="zh-CN"/>
          <w14:textFill>
            <w14:solidFill>
              <w14:schemeClr w14:val="tx1"/>
            </w14:solidFill>
          </w14:textFill>
        </w:rPr>
      </w:pPr>
    </w:p>
    <w:p w14:paraId="5FC55C78">
      <w:pPr>
        <w:pStyle w:val="692"/>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3EC333A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杭州恒城工程管理有限公司</w:t>
      </w:r>
      <w:r>
        <w:rPr>
          <w:rFonts w:hint="eastAsia" w:ascii="宋体" w:hAnsi="宋体" w:eastAsia="宋体" w:cs="宋体"/>
          <w:color w:val="000000" w:themeColor="text1"/>
          <w:sz w:val="24"/>
          <w:highlight w:val="none"/>
          <w14:textFill>
            <w14:solidFill>
              <w14:schemeClr w14:val="tx1"/>
            </w14:solidFill>
          </w14:textFill>
        </w:rPr>
        <w:t>：</w:t>
      </w:r>
    </w:p>
    <w:p w14:paraId="7FB35983">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2025年桐庐县青少年宫消防维保单位采购项目</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HZHC-TL2025XJ-007</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C546481">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单位均为人民币元</w:t>
      </w:r>
      <w:r>
        <w:rPr>
          <w:rFonts w:hint="eastAsia" w:ascii="宋体" w:hAnsi="宋体" w:cs="宋体"/>
          <w:b/>
          <w:color w:val="000000" w:themeColor="text1"/>
          <w:kern w:val="0"/>
          <w:sz w:val="24"/>
          <w:highlight w:val="none"/>
          <w:lang w:val="zh-CN"/>
          <w14:textFill>
            <w14:solidFill>
              <w14:schemeClr w14:val="tx1"/>
            </w14:solidFill>
          </w14:textFill>
        </w:rPr>
        <w:t>）</w:t>
      </w:r>
    </w:p>
    <w:tbl>
      <w:tblPr>
        <w:tblStyle w:val="62"/>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767"/>
        <w:gridCol w:w="1032"/>
        <w:gridCol w:w="1560"/>
        <w:gridCol w:w="2052"/>
      </w:tblGrid>
      <w:tr w14:paraId="0C1A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6" w:type="dxa"/>
            <w:vAlign w:val="center"/>
          </w:tcPr>
          <w:p w14:paraId="5087ED55">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3767" w:type="dxa"/>
            <w:vAlign w:val="center"/>
          </w:tcPr>
          <w:p w14:paraId="486899E1">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032" w:type="dxa"/>
            <w:vAlign w:val="center"/>
          </w:tcPr>
          <w:p w14:paraId="77424AEC">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60" w:type="dxa"/>
            <w:vAlign w:val="center"/>
          </w:tcPr>
          <w:p w14:paraId="5BD83FB7">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服务期</w:t>
            </w:r>
          </w:p>
        </w:tc>
        <w:tc>
          <w:tcPr>
            <w:tcW w:w="2052" w:type="dxa"/>
            <w:vAlign w:val="center"/>
          </w:tcPr>
          <w:p w14:paraId="6FA2D4EE">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总价</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元</w:t>
            </w:r>
            <w:r>
              <w:rPr>
                <w:rFonts w:hint="eastAsia" w:ascii="宋体" w:hAnsi="宋体" w:cs="宋体"/>
                <w:b/>
                <w:color w:val="000000" w:themeColor="text1"/>
                <w:sz w:val="24"/>
                <w:highlight w:val="none"/>
                <w:lang w:val="en-US" w:eastAsia="zh-CN"/>
                <w14:textFill>
                  <w14:solidFill>
                    <w14:schemeClr w14:val="tx1"/>
                  </w14:solidFill>
                </w14:textFill>
              </w:rPr>
              <w:t>/年</w:t>
            </w:r>
            <w:r>
              <w:rPr>
                <w:rFonts w:hint="eastAsia" w:ascii="宋体" w:hAnsi="宋体" w:eastAsia="宋体" w:cs="宋体"/>
                <w:b/>
                <w:color w:val="000000" w:themeColor="text1"/>
                <w:sz w:val="24"/>
                <w:highlight w:val="none"/>
                <w:lang w:eastAsia="zh-CN"/>
                <w14:textFill>
                  <w14:solidFill>
                    <w14:schemeClr w14:val="tx1"/>
                  </w14:solidFill>
                </w14:textFill>
              </w:rPr>
              <w:t>）</w:t>
            </w:r>
          </w:p>
        </w:tc>
      </w:tr>
      <w:tr w14:paraId="67E1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14:paraId="3A3ECBF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767" w:type="dxa"/>
            <w:vAlign w:val="center"/>
          </w:tcPr>
          <w:p w14:paraId="72CD436D">
            <w:pPr>
              <w:pStyle w:val="58"/>
              <w:keepNext w:val="0"/>
              <w:keepLines w:val="0"/>
              <w:pageBreakBefore w:val="0"/>
              <w:widowControl/>
              <w:kinsoku/>
              <w:wordWrap w:val="0"/>
              <w:overflowPunct/>
              <w:topLinePunct w:val="0"/>
              <w:autoSpaceDE w:val="0"/>
              <w:autoSpaceDN/>
              <w:bidi w:val="0"/>
              <w:adjustRightInd w:val="0"/>
              <w:snapToGrid/>
              <w:spacing w:before="0" w:beforeAutospacing="0" w:after="157" w:afterLines="50" w:afterAutospacing="0" w:line="500" w:lineRule="atLeast"/>
              <w:jc w:val="center"/>
              <w:textAlignment w:val="auto"/>
              <w:rPr>
                <w:rFonts w:hint="eastAsia" w:ascii="宋体" w:hAnsi="宋体" w:eastAsia="宋体" w:cs="宋体"/>
                <w:bCs/>
                <w:color w:val="000000" w:themeColor="text1"/>
                <w:kern w:val="2"/>
                <w:highlight w:val="none"/>
                <w:lang w:eastAsia="zh-CN"/>
                <w14:textFill>
                  <w14:solidFill>
                    <w14:schemeClr w14:val="tx1"/>
                  </w14:solidFill>
                </w14:textFill>
              </w:rPr>
            </w:pPr>
            <w:r>
              <w:rPr>
                <w:rFonts w:hint="eastAsia" w:cs="宋体"/>
                <w:color w:val="000000" w:themeColor="text1"/>
                <w:sz w:val="24"/>
                <w:highlight w:val="none"/>
                <w:lang w:eastAsia="zh-CN"/>
                <w14:textFill>
                  <w14:solidFill>
                    <w14:schemeClr w14:val="tx1"/>
                  </w14:solidFill>
                </w14:textFill>
              </w:rPr>
              <w:t>2025年桐庐县青少年宫消防维保单位采购项目</w:t>
            </w:r>
          </w:p>
        </w:tc>
        <w:tc>
          <w:tcPr>
            <w:tcW w:w="1032" w:type="dxa"/>
            <w:vAlign w:val="center"/>
          </w:tcPr>
          <w:p w14:paraId="5EBAECEC">
            <w:pPr>
              <w:pStyle w:val="58"/>
              <w:wordWrap w:val="0"/>
              <w:autoSpaceDE w:val="0"/>
              <w:spacing w:before="0" w:beforeAutospacing="0" w:after="0" w:afterAutospacing="0" w:line="500" w:lineRule="atLeast"/>
              <w:jc w:val="center"/>
              <w:rPr>
                <w:rFonts w:hint="eastAsia" w:ascii="宋体" w:hAnsi="宋体" w:eastAsia="宋体" w:cs="宋体"/>
                <w:bCs/>
                <w:color w:val="000000" w:themeColor="text1"/>
                <w:kern w:val="2"/>
                <w:highlight w:val="none"/>
                <w:lang w:val="en-US" w:eastAsia="zh-CN"/>
                <w14:textFill>
                  <w14:solidFill>
                    <w14:schemeClr w14:val="tx1"/>
                  </w14:solidFill>
                </w14:textFill>
              </w:rPr>
            </w:pPr>
            <w:r>
              <w:rPr>
                <w:rFonts w:hint="eastAsia" w:ascii="宋体" w:hAnsi="宋体" w:eastAsia="宋体" w:cs="宋体"/>
                <w:bCs/>
                <w:color w:val="000000" w:themeColor="text1"/>
                <w:kern w:val="2"/>
                <w:highlight w:val="none"/>
                <w14:textFill>
                  <w14:solidFill>
                    <w14:schemeClr w14:val="tx1"/>
                  </w14:solidFill>
                </w14:textFill>
              </w:rPr>
              <w:t>1</w:t>
            </w:r>
            <w:r>
              <w:rPr>
                <w:rFonts w:hint="eastAsia" w:ascii="宋体" w:hAnsi="宋体" w:eastAsia="宋体" w:cs="宋体"/>
                <w:bCs/>
                <w:color w:val="000000" w:themeColor="text1"/>
                <w:kern w:val="2"/>
                <w:highlight w:val="none"/>
                <w:lang w:val="en-US" w:eastAsia="zh-CN"/>
                <w14:textFill>
                  <w14:solidFill>
                    <w14:schemeClr w14:val="tx1"/>
                  </w14:solidFill>
                </w14:textFill>
              </w:rPr>
              <w:t>项</w:t>
            </w:r>
          </w:p>
        </w:tc>
        <w:tc>
          <w:tcPr>
            <w:tcW w:w="1560" w:type="dxa"/>
            <w:vAlign w:val="center"/>
          </w:tcPr>
          <w:p w14:paraId="5B80B83F">
            <w:pPr>
              <w:pStyle w:val="58"/>
              <w:wordWrap w:val="0"/>
              <w:autoSpaceDE w:val="0"/>
              <w:spacing w:before="0" w:beforeAutospacing="0" w:after="0" w:afterAutospacing="0" w:line="500" w:lineRule="atLeast"/>
              <w:jc w:val="center"/>
              <w:rPr>
                <w:rFonts w:hint="default" w:ascii="宋体" w:hAnsi="宋体" w:eastAsia="宋体" w:cs="宋体"/>
                <w:bCs/>
                <w:color w:val="000000" w:themeColor="text1"/>
                <w:kern w:val="2"/>
                <w:highlight w:val="none"/>
                <w:lang w:val="en-US" w:eastAsia="zh-CN"/>
                <w14:textFill>
                  <w14:solidFill>
                    <w14:schemeClr w14:val="tx1"/>
                  </w14:solidFill>
                </w14:textFill>
              </w:rPr>
            </w:pPr>
            <w:r>
              <w:rPr>
                <w:rFonts w:hint="eastAsia" w:cs="宋体"/>
                <w:bCs/>
                <w:color w:val="000000" w:themeColor="text1"/>
                <w:kern w:val="2"/>
                <w:highlight w:val="none"/>
                <w:lang w:val="en-US" w:eastAsia="zh-CN"/>
                <w14:textFill>
                  <w14:solidFill>
                    <w14:schemeClr w14:val="tx1"/>
                  </w14:solidFill>
                </w14:textFill>
              </w:rPr>
              <w:t>1</w:t>
            </w:r>
            <w:r>
              <w:rPr>
                <w:rFonts w:hint="eastAsia" w:ascii="宋体" w:hAnsi="宋体" w:eastAsia="宋体" w:cs="宋体"/>
                <w:bCs/>
                <w:color w:val="000000" w:themeColor="text1"/>
                <w:kern w:val="2"/>
                <w:highlight w:val="none"/>
                <w:lang w:val="en-US" w:eastAsia="zh-CN"/>
                <w14:textFill>
                  <w14:solidFill>
                    <w14:schemeClr w14:val="tx1"/>
                  </w14:solidFill>
                </w14:textFill>
              </w:rPr>
              <w:t>年</w:t>
            </w:r>
          </w:p>
        </w:tc>
        <w:tc>
          <w:tcPr>
            <w:tcW w:w="2052" w:type="dxa"/>
            <w:vAlign w:val="center"/>
          </w:tcPr>
          <w:p w14:paraId="530E518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00FA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147" w:type="dxa"/>
            <w:gridSpan w:val="5"/>
            <w:vAlign w:val="center"/>
          </w:tcPr>
          <w:p w14:paraId="45B919D6">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投标报价（大写）：</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b/>
                <w:bCs w:val="0"/>
                <w:color w:val="000000" w:themeColor="text1"/>
                <w:sz w:val="24"/>
                <w:highlight w:val="none"/>
                <w:u w:val="none"/>
                <w14:textFill>
                  <w14:solidFill>
                    <w14:schemeClr w14:val="tx1"/>
                  </w14:solidFill>
                </w14:textFill>
              </w:rPr>
              <w:t xml:space="preserve"> </w:t>
            </w:r>
            <w:r>
              <w:rPr>
                <w:rFonts w:hint="eastAsia" w:ascii="宋体" w:hAnsi="宋体" w:cs="宋体"/>
                <w:b/>
                <w:bCs w:val="0"/>
                <w:color w:val="000000" w:themeColor="text1"/>
                <w:sz w:val="24"/>
                <w:highlight w:val="none"/>
                <w:u w:val="none"/>
                <w:lang w:eastAsia="zh-CN"/>
                <w14:textFill>
                  <w14:solidFill>
                    <w14:schemeClr w14:val="tx1"/>
                  </w14:solidFill>
                </w14:textFill>
              </w:rPr>
              <w:t>元</w:t>
            </w:r>
            <w:r>
              <w:rPr>
                <w:rFonts w:hint="eastAsia" w:ascii="宋体" w:hAnsi="宋体" w:cs="宋体"/>
                <w:b/>
                <w:bCs w:val="0"/>
                <w:color w:val="000000" w:themeColor="text1"/>
                <w:sz w:val="24"/>
                <w:highlight w:val="none"/>
                <w:u w:val="none"/>
                <w:lang w:val="en-US" w:eastAsia="zh-CN"/>
                <w14:textFill>
                  <w14:solidFill>
                    <w14:schemeClr w14:val="tx1"/>
                  </w14:solidFill>
                </w14:textFill>
              </w:rPr>
              <w:t>/年</w:t>
            </w:r>
          </w:p>
        </w:tc>
      </w:tr>
    </w:tbl>
    <w:p w14:paraId="06759C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482"/>
        <w:textAlignment w:val="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052B2EA2">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zh-CN"/>
          <w14:textFill>
            <w14:solidFill>
              <w14:schemeClr w14:val="tx1"/>
            </w14:solidFill>
          </w14:textFill>
        </w:rPr>
        <w:t>需按本表格式填写，不得自行更改。</w:t>
      </w:r>
    </w:p>
    <w:p w14:paraId="6CB2CAB9">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采购单位</w:t>
      </w:r>
      <w:r>
        <w:rPr>
          <w:rFonts w:hint="eastAsia" w:ascii="宋体" w:hAnsi="宋体" w:eastAsia="宋体" w:cs="宋体"/>
          <w:b/>
          <w:color w:val="000000" w:themeColor="text1"/>
          <w:kern w:val="0"/>
          <w:sz w:val="24"/>
          <w:highlight w:val="none"/>
          <w:lang w:val="zh-CN"/>
          <w14:textFill>
            <w14:solidFill>
              <w14:schemeClr w14:val="tx1"/>
            </w14:solidFill>
          </w14:textFill>
        </w:rPr>
        <w:t>将以合同形式有偿取得货物或服务，不接受供应商给予的赠品、回扣或者与采购无关的其他商品、服务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kern w:val="0"/>
          <w:sz w:val="24"/>
          <w:highlight w:val="none"/>
          <w:lang w:val="en-US" w:eastAsia="zh-CN"/>
          <w14:textFill>
            <w14:solidFill>
              <w14:schemeClr w14:val="tx1"/>
            </w14:solidFill>
          </w14:textFill>
        </w:rPr>
        <w:t>询价</w:t>
      </w:r>
      <w:r>
        <w:rPr>
          <w:rFonts w:hint="eastAsia" w:ascii="宋体" w:hAnsi="宋体" w:eastAsia="宋体" w:cs="宋体"/>
          <w:b/>
          <w:color w:val="000000" w:themeColor="text1"/>
          <w:sz w:val="24"/>
          <w:highlight w:val="none"/>
          <w14:textFill>
            <w14:solidFill>
              <w14:schemeClr w14:val="tx1"/>
            </w14:solidFill>
          </w14:textFill>
        </w:rPr>
        <w:t>响应文件含有</w:t>
      </w:r>
      <w:r>
        <w:rPr>
          <w:rFonts w:hint="eastAsia" w:ascii="宋体" w:hAnsi="宋体" w:cs="宋体"/>
          <w:b/>
          <w:color w:val="000000" w:themeColor="text1"/>
          <w:sz w:val="24"/>
          <w:highlight w:val="none"/>
          <w:lang w:eastAsia="zh-CN"/>
          <w14:textFill>
            <w14:solidFill>
              <w14:schemeClr w14:val="tx1"/>
            </w14:solidFill>
          </w14:textFill>
        </w:rPr>
        <w:t>采购单位</w:t>
      </w:r>
      <w:r>
        <w:rPr>
          <w:rFonts w:hint="eastAsia" w:ascii="宋体" w:hAnsi="宋体" w:eastAsia="宋体" w:cs="宋体"/>
          <w:b/>
          <w:color w:val="000000" w:themeColor="text1"/>
          <w:sz w:val="24"/>
          <w:highlight w:val="none"/>
          <w14:textFill>
            <w14:solidFill>
              <w14:schemeClr w14:val="tx1"/>
            </w14:solidFill>
          </w14:textFill>
        </w:rPr>
        <w:t>不能接受的附加条件的，投标无效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6AC69CFE">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特别提示：采购机构将对项目名称和项目编号，</w:t>
      </w:r>
      <w:r>
        <w:rPr>
          <w:rFonts w:hint="eastAsia" w:ascii="宋体" w:hAnsi="宋体" w:cs="宋体"/>
          <w:color w:val="000000" w:themeColor="text1"/>
          <w:kern w:val="0"/>
          <w:sz w:val="24"/>
          <w:highlight w:val="none"/>
          <w:lang w:val="zh-CN"/>
          <w14:textFill>
            <w14:solidFill>
              <w14:schemeClr w14:val="tx1"/>
            </w14:solidFill>
          </w14:textFill>
        </w:rPr>
        <w:t>中标单位</w:t>
      </w:r>
      <w:r>
        <w:rPr>
          <w:rFonts w:hint="eastAsia" w:ascii="宋体" w:hAnsi="宋体" w:eastAsia="宋体" w:cs="宋体"/>
          <w:color w:val="000000" w:themeColor="text1"/>
          <w:kern w:val="0"/>
          <w:sz w:val="24"/>
          <w:highlight w:val="none"/>
          <w:lang w:val="zh-CN"/>
          <w14:textFill>
            <w14:solidFill>
              <w14:schemeClr w14:val="tx1"/>
            </w14:solidFill>
          </w14:textFill>
        </w:rPr>
        <w:t>名称、地址和中标金额，主要中标标的的名称、规格型号、数量、单价、服务要求等予以公示。</w:t>
      </w:r>
    </w:p>
    <w:p w14:paraId="2930CB20">
      <w:pPr>
        <w:snapToGrid w:val="0"/>
        <w:spacing w:line="360" w:lineRule="auto"/>
        <w:ind w:firstLine="480"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5</w:t>
      </w:r>
      <w:r>
        <w:rPr>
          <w:rFonts w:hint="eastAsia" w:ascii="宋体" w:hAnsi="宋体" w:cs="宋体"/>
          <w:color w:val="000000" w:themeColor="text1"/>
          <w:kern w:val="0"/>
          <w:sz w:val="24"/>
          <w:szCs w:val="22"/>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符合竞争性</w:t>
      </w:r>
      <w:r>
        <w:rPr>
          <w:rFonts w:hint="eastAsia" w:ascii="宋体" w:hAnsi="宋体" w:eastAsia="宋体" w:cs="宋体"/>
          <w:color w:val="000000" w:themeColor="text1"/>
          <w:kern w:val="0"/>
          <w:sz w:val="24"/>
          <w:highlight w:val="none"/>
          <w:lang w:val="en-US" w:eastAsia="zh-CN"/>
          <w14:textFill>
            <w14:solidFill>
              <w14:schemeClr w14:val="tx1"/>
            </w14:solidFill>
          </w14:textFill>
        </w:rPr>
        <w:t>询价</w:t>
      </w:r>
      <w:r>
        <w:rPr>
          <w:rFonts w:hint="eastAsia" w:ascii="宋体" w:hAnsi="宋体" w:eastAsia="宋体" w:cs="宋体"/>
          <w:color w:val="000000" w:themeColor="text1"/>
          <w:kern w:val="0"/>
          <w:sz w:val="24"/>
          <w:highlight w:val="none"/>
          <w:lang w:val="zh-CN"/>
          <w14:textFill>
            <w14:solidFill>
              <w14:schemeClr w14:val="tx1"/>
            </w14:solidFill>
          </w14:textFill>
        </w:rPr>
        <w:t>文件中列明的可享受中小企业扶持政策的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zh-CN"/>
          <w14:textFill>
            <w14:solidFill>
              <w14:schemeClr w14:val="tx1"/>
            </w14:solidFill>
          </w14:textFill>
        </w:rPr>
        <w:t>，请填写中小企业声明函。注：供应商提供的中小企业声明函内容不实的，属于提供虚假材料谋取中标、成交，依照《中华人民共和国政府采购法》等国家有关规定追究相应责任。</w:t>
      </w:r>
    </w:p>
    <w:p w14:paraId="53E32C4C">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72389E4D">
      <w:pPr>
        <w:spacing w:line="360" w:lineRule="auto"/>
        <w:ind w:left="5509" w:leftChars="2052" w:hanging="1200" w:hangingChars="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5DAFB542">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日期：</w:t>
      </w:r>
    </w:p>
    <w:p w14:paraId="62354F80">
      <w:pPr>
        <w:pStyle w:val="81"/>
        <w:ind w:left="0" w:leftChars="0" w:firstLine="0" w:firstLineChars="0"/>
        <w:rPr>
          <w:rFonts w:hint="eastAsia"/>
          <w:color w:val="000000" w:themeColor="text1"/>
          <w:highlight w:val="none"/>
          <w14:textFill>
            <w14:solidFill>
              <w14:schemeClr w14:val="tx1"/>
            </w14:solidFill>
          </w14:textFill>
        </w:rPr>
      </w:pPr>
    </w:p>
    <w:p w14:paraId="5B1B0921">
      <w:pPr>
        <w:pStyle w:val="692"/>
        <w:keepNext w:val="0"/>
        <w:pageBreakBefore w:val="0"/>
        <w:tabs>
          <w:tab w:val="clear" w:pos="720"/>
        </w:tabs>
        <w:snapToGrid w:val="0"/>
        <w:spacing w:before="120" w:after="120"/>
        <w:ind w:firstLine="643"/>
        <w:rPr>
          <w:rFonts w:hint="eastAsia" w:asciiTheme="minorEastAsia" w:hAnsiTheme="minorEastAsia" w:eastAsiaTheme="minorEastAsia" w:cstheme="minorEastAsia"/>
          <w:color w:val="000000" w:themeColor="text1"/>
          <w:kern w:val="2"/>
          <w:sz w:val="32"/>
          <w:szCs w:val="32"/>
          <w:highlight w:val="none"/>
          <w:lang w:val="en-US" w:eastAsia="zh-CN"/>
          <w14:textFill>
            <w14:solidFill>
              <w14:schemeClr w14:val="tx1"/>
            </w14:solidFill>
          </w14:textFill>
        </w:rPr>
      </w:pPr>
    </w:p>
    <w:p w14:paraId="513C2ED0">
      <w:pPr>
        <w:pStyle w:val="692"/>
        <w:keepNext w:val="0"/>
        <w:pageBreakBefore w:val="0"/>
        <w:tabs>
          <w:tab w:val="clear" w:pos="720"/>
        </w:tabs>
        <w:snapToGrid w:val="0"/>
        <w:spacing w:before="120" w:after="120"/>
        <w:ind w:firstLine="1622" w:firstLineChars="505"/>
        <w:jc w:val="center"/>
        <w:rPr>
          <w:rFonts w:hint="eastAsia"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32"/>
          <w:szCs w:val="32"/>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kern w:val="2"/>
          <w:sz w:val="32"/>
          <w:szCs w:val="3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highlight w:val="none"/>
          <w:lang w:val="en-US" w:eastAsia="zh-CN"/>
          <w14:textFill>
            <w14:solidFill>
              <w14:schemeClr w14:val="tx1"/>
            </w14:solidFill>
          </w14:textFill>
        </w:rPr>
        <w:t>报价说明</w:t>
      </w:r>
    </w:p>
    <w:p w14:paraId="6A467BCD">
      <w:pPr>
        <w:keepNext w:val="0"/>
        <w:keepLines w:val="0"/>
        <w:pageBreakBefore w:val="0"/>
        <w:widowControl w:val="0"/>
        <w:tabs>
          <w:tab w:val="left" w:pos="0"/>
        </w:tabs>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
          <w:bCs/>
          <w:sz w:val="24"/>
          <w:szCs w:val="24"/>
        </w:rPr>
        <w:t>本次招标采用</w:t>
      </w:r>
      <w:r>
        <w:rPr>
          <w:rFonts w:hint="eastAsia" w:ascii="仿宋" w:hAnsi="仿宋" w:eastAsia="仿宋" w:cs="仿宋"/>
          <w:b/>
          <w:bCs/>
          <w:sz w:val="24"/>
          <w:szCs w:val="24"/>
          <w:lang w:eastAsia="zh-CN"/>
        </w:rPr>
        <w:t>公开询价招标</w:t>
      </w:r>
      <w:r>
        <w:rPr>
          <w:rFonts w:hint="eastAsia" w:ascii="仿宋" w:hAnsi="仿宋" w:eastAsia="仿宋" w:cs="仿宋"/>
          <w:b/>
          <w:bCs/>
          <w:sz w:val="24"/>
          <w:szCs w:val="24"/>
        </w:rPr>
        <w:t>方式进行</w:t>
      </w:r>
      <w:r>
        <w:rPr>
          <w:rFonts w:hint="eastAsia" w:ascii="仿宋" w:hAnsi="仿宋" w:eastAsia="仿宋" w:cs="仿宋"/>
          <w:sz w:val="24"/>
          <w:szCs w:val="24"/>
        </w:rPr>
        <w:t>。采用封闭式投标，现场开标。投标单位必须于</w:t>
      </w:r>
      <w:r>
        <w:rPr>
          <w:rFonts w:hint="eastAsia" w:ascii="仿宋" w:hAnsi="仿宋" w:eastAsia="仿宋" w:cs="仿宋"/>
          <w:b/>
          <w:bCs/>
          <w:color w:val="FF0000"/>
          <w:sz w:val="24"/>
          <w:szCs w:val="24"/>
          <w:lang w:val="en-US" w:eastAsia="zh-CN"/>
        </w:rPr>
        <w:t xml:space="preserve"> </w:t>
      </w:r>
      <w:r>
        <w:rPr>
          <w:rFonts w:hint="eastAsia" w:ascii="仿宋" w:hAnsi="仿宋" w:eastAsia="仿宋" w:cs="仿宋"/>
          <w:b/>
          <w:bCs/>
          <w:color w:val="FF0000"/>
          <w:sz w:val="24"/>
          <w:lang w:val="en-US" w:eastAsia="zh-CN"/>
        </w:rPr>
        <w:t>2025年XX月XX日XX时XX分</w:t>
      </w:r>
      <w:r>
        <w:rPr>
          <w:rFonts w:hint="eastAsia" w:ascii="仿宋" w:hAnsi="仿宋" w:eastAsia="仿宋" w:cs="仿宋"/>
          <w:sz w:val="24"/>
          <w:szCs w:val="24"/>
        </w:rPr>
        <w:t>前将</w:t>
      </w:r>
      <w:r>
        <w:rPr>
          <w:rFonts w:hint="eastAsia" w:ascii="仿宋" w:hAnsi="仿宋" w:eastAsia="仿宋" w:cs="仿宋"/>
          <w:b/>
          <w:bCs/>
          <w:sz w:val="24"/>
          <w:szCs w:val="24"/>
          <w:lang w:eastAsia="zh-CN"/>
        </w:rPr>
        <w:t>投标文件</w:t>
      </w:r>
      <w:r>
        <w:rPr>
          <w:rFonts w:hint="eastAsia" w:ascii="仿宋" w:hAnsi="仿宋" w:eastAsia="仿宋" w:cs="仿宋"/>
          <w:sz w:val="24"/>
          <w:szCs w:val="24"/>
        </w:rPr>
        <w:t>送至</w:t>
      </w:r>
      <w:r>
        <w:rPr>
          <w:rFonts w:hint="eastAsia" w:ascii="仿宋" w:hAnsi="仿宋" w:eastAsia="仿宋" w:cs="仿宋"/>
          <w:b w:val="0"/>
          <w:bCs w:val="0"/>
          <w:sz w:val="24"/>
          <w:u w:val="single"/>
          <w:lang w:eastAsia="zh-CN"/>
        </w:rPr>
        <w:t>桐庐县青少年宫6号楼2楼会议室</w:t>
      </w:r>
      <w:r>
        <w:rPr>
          <w:rFonts w:hint="eastAsia" w:ascii="仿宋" w:hAnsi="仿宋" w:eastAsia="仿宋" w:cs="仿宋"/>
          <w:b w:val="0"/>
          <w:bCs w:val="0"/>
          <w:sz w:val="24"/>
          <w:u w:val="none"/>
          <w:lang w:eastAsia="zh-CN"/>
        </w:rPr>
        <w:t>。</w:t>
      </w:r>
    </w:p>
    <w:p w14:paraId="3A6FBA5E">
      <w:pPr>
        <w:keepNext w:val="0"/>
        <w:keepLines w:val="0"/>
        <w:pageBreakBefore w:val="0"/>
        <w:widowControl w:val="0"/>
        <w:tabs>
          <w:tab w:val="left" w:pos="0"/>
        </w:tabs>
        <w:kinsoku/>
        <w:wordWrap/>
        <w:overflowPunct/>
        <w:topLinePunct w:val="0"/>
        <w:autoSpaceDE/>
        <w:autoSpaceDN/>
        <w:bidi w:val="0"/>
        <w:adjustRightInd/>
        <w:spacing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开标会定于</w:t>
      </w:r>
      <w:r>
        <w:rPr>
          <w:rFonts w:hint="eastAsia" w:ascii="仿宋" w:hAnsi="仿宋" w:eastAsia="仿宋" w:cs="仿宋"/>
          <w:b/>
          <w:bCs/>
          <w:color w:val="FF0000"/>
          <w:sz w:val="24"/>
          <w:lang w:val="en-US" w:eastAsia="zh-CN"/>
        </w:rPr>
        <w:t>2025年XX月XX日XX时XX分</w:t>
      </w:r>
      <w:r>
        <w:rPr>
          <w:rFonts w:hint="eastAsia" w:ascii="仿宋" w:hAnsi="仿宋" w:eastAsia="仿宋" w:cs="仿宋"/>
          <w:sz w:val="24"/>
          <w:szCs w:val="24"/>
        </w:rPr>
        <w:t>在</w:t>
      </w:r>
      <w:r>
        <w:rPr>
          <w:rFonts w:hint="eastAsia" w:ascii="仿宋" w:hAnsi="仿宋" w:eastAsia="仿宋" w:cs="仿宋"/>
          <w:b w:val="0"/>
          <w:bCs w:val="0"/>
          <w:sz w:val="24"/>
          <w:u w:val="single"/>
          <w:lang w:eastAsia="zh-CN"/>
        </w:rPr>
        <w:t>桐庐县青少年宫6号楼2楼会议室</w:t>
      </w:r>
      <w:r>
        <w:rPr>
          <w:rFonts w:hint="eastAsia" w:ascii="仿宋" w:hAnsi="仿宋" w:eastAsia="仿宋" w:cs="仿宋"/>
          <w:sz w:val="24"/>
          <w:szCs w:val="24"/>
          <w:lang w:eastAsia="zh-CN"/>
        </w:rPr>
        <w:t>。</w:t>
      </w:r>
    </w:p>
    <w:p w14:paraId="5BD51F1B">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sz w:val="24"/>
          <w:szCs w:val="24"/>
          <w:lang w:eastAsia="zh-CN"/>
        </w:rPr>
      </w:pPr>
      <w:r>
        <w:rPr>
          <w:rFonts w:hint="eastAsia" w:ascii="仿宋" w:hAnsi="仿宋" w:eastAsia="仿宋" w:cs="仿宋"/>
          <w:sz w:val="24"/>
          <w:szCs w:val="24"/>
        </w:rPr>
        <w:t>二、供应商必须提供</w:t>
      </w:r>
      <w:r>
        <w:rPr>
          <w:rFonts w:hint="eastAsia" w:ascii="仿宋" w:hAnsi="仿宋" w:eastAsia="仿宋" w:cs="仿宋"/>
          <w:sz w:val="24"/>
          <w:szCs w:val="24"/>
          <w:lang w:eastAsia="zh-CN"/>
        </w:rPr>
        <w:t>本项目消防维保的</w:t>
      </w:r>
      <w:r>
        <w:rPr>
          <w:rFonts w:hint="eastAsia" w:ascii="仿宋" w:hAnsi="仿宋" w:eastAsia="仿宋" w:cs="仿宋"/>
          <w:sz w:val="24"/>
          <w:szCs w:val="24"/>
        </w:rPr>
        <w:t>报价</w:t>
      </w:r>
      <w:r>
        <w:rPr>
          <w:rFonts w:hint="eastAsia" w:ascii="仿宋" w:hAnsi="仿宋" w:eastAsia="仿宋" w:cs="仿宋"/>
          <w:sz w:val="24"/>
          <w:szCs w:val="24"/>
          <w:lang w:eastAsia="zh-CN"/>
        </w:rPr>
        <w:t>。</w:t>
      </w:r>
    </w:p>
    <w:p w14:paraId="10DC3DBB">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仿宋" w:hAnsi="仿宋" w:eastAsia="仿宋" w:cs="仿宋"/>
          <w:sz w:val="24"/>
          <w:szCs w:val="24"/>
          <w:lang w:eastAsia="zh-CN"/>
        </w:rPr>
      </w:pPr>
      <w:r>
        <w:rPr>
          <w:rFonts w:hint="eastAsia" w:ascii="仿宋" w:hAnsi="仿宋" w:eastAsia="仿宋" w:cs="仿宋"/>
          <w:sz w:val="24"/>
          <w:szCs w:val="24"/>
        </w:rPr>
        <w:t>三、供应商必须认真按照</w:t>
      </w:r>
      <w:r>
        <w:rPr>
          <w:rFonts w:hint="eastAsia" w:ascii="仿宋" w:hAnsi="仿宋" w:eastAsia="仿宋" w:cs="仿宋"/>
          <w:sz w:val="24"/>
          <w:szCs w:val="24"/>
          <w:lang w:eastAsia="zh-CN"/>
        </w:rPr>
        <w:t>招标</w:t>
      </w:r>
      <w:r>
        <w:rPr>
          <w:rFonts w:hint="eastAsia" w:ascii="仿宋" w:hAnsi="仿宋" w:eastAsia="仿宋" w:cs="仿宋"/>
          <w:sz w:val="24"/>
          <w:szCs w:val="24"/>
        </w:rPr>
        <w:t>文件规定的格式填写，否则以无效标处理</w:t>
      </w:r>
      <w:r>
        <w:rPr>
          <w:rFonts w:hint="eastAsia" w:ascii="仿宋" w:hAnsi="仿宋" w:eastAsia="仿宋" w:cs="仿宋"/>
          <w:sz w:val="24"/>
          <w:szCs w:val="24"/>
          <w:lang w:eastAsia="zh-CN"/>
        </w:rPr>
        <w:t>。</w:t>
      </w:r>
    </w:p>
    <w:p w14:paraId="093B6E5F">
      <w:pPr>
        <w:keepNext w:val="0"/>
        <w:keepLines w:val="0"/>
        <w:pageBreakBefore w:val="0"/>
        <w:widowControl w:val="0"/>
        <w:kinsoku/>
        <w:wordWrap/>
        <w:overflowPunct/>
        <w:topLinePunct w:val="0"/>
        <w:autoSpaceDE/>
        <w:autoSpaceDN/>
        <w:bidi w:val="0"/>
        <w:adjustRightInd/>
        <w:spacing w:line="360" w:lineRule="auto"/>
        <w:ind w:left="-105" w:leftChars="-50"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w:t>
      </w:r>
      <w:r>
        <w:rPr>
          <w:rFonts w:hint="eastAsia" w:ascii="仿宋" w:hAnsi="仿宋" w:eastAsia="仿宋" w:cs="仿宋"/>
          <w:b/>
          <w:bCs/>
          <w:sz w:val="24"/>
          <w:szCs w:val="24"/>
        </w:rPr>
        <w:t>评审原则</w:t>
      </w:r>
      <w:r>
        <w:rPr>
          <w:rFonts w:hint="eastAsia" w:ascii="仿宋" w:hAnsi="仿宋" w:eastAsia="仿宋" w:cs="仿宋"/>
          <w:sz w:val="24"/>
          <w:szCs w:val="24"/>
        </w:rPr>
        <w:t>：</w:t>
      </w:r>
      <w:r>
        <w:rPr>
          <w:rFonts w:hint="eastAsia" w:ascii="仿宋" w:hAnsi="仿宋" w:eastAsia="仿宋" w:cs="仿宋"/>
          <w:b/>
          <w:bCs/>
          <w:color w:val="000000"/>
          <w:sz w:val="24"/>
          <w:szCs w:val="24"/>
          <w:lang w:val="en-GB"/>
        </w:rPr>
        <w:t>按照质量、规格要求、服务满足采购要求且有效报价合理最低者确定为成交人（有选择性的报价、高于上限价的报价或经</w:t>
      </w:r>
      <w:r>
        <w:rPr>
          <w:rFonts w:hint="eastAsia" w:ascii="仿宋" w:hAnsi="仿宋" w:eastAsia="仿宋" w:cs="仿宋"/>
          <w:b/>
          <w:bCs/>
          <w:color w:val="000000"/>
          <w:sz w:val="24"/>
          <w:szCs w:val="24"/>
          <w:lang w:val="en-GB" w:eastAsia="zh-CN"/>
        </w:rPr>
        <w:t>评标</w:t>
      </w:r>
      <w:r>
        <w:rPr>
          <w:rFonts w:hint="eastAsia" w:ascii="仿宋" w:hAnsi="仿宋" w:eastAsia="仿宋" w:cs="仿宋"/>
          <w:b/>
          <w:bCs/>
          <w:color w:val="000000"/>
          <w:sz w:val="24"/>
          <w:szCs w:val="24"/>
          <w:lang w:val="en-GB"/>
        </w:rPr>
        <w:t>小组认定质量、规格要求、服务不满足采购要求的均作无效标处理）</w:t>
      </w:r>
      <w:r>
        <w:rPr>
          <w:rFonts w:hint="eastAsia" w:ascii="仿宋" w:hAnsi="仿宋" w:eastAsia="仿宋" w:cs="仿宋"/>
          <w:b/>
          <w:bCs/>
          <w:color w:val="000000"/>
          <w:sz w:val="24"/>
          <w:szCs w:val="24"/>
          <w:lang w:val="en-GB" w:eastAsia="zh-CN"/>
        </w:rPr>
        <w:t>。</w:t>
      </w:r>
      <w:r>
        <w:rPr>
          <w:rFonts w:hint="eastAsia" w:ascii="仿宋" w:hAnsi="仿宋" w:eastAsia="仿宋" w:cs="仿宋"/>
          <w:b/>
          <w:bCs/>
          <w:color w:val="000000"/>
          <w:sz w:val="24"/>
          <w:szCs w:val="24"/>
          <w:lang w:val="en-GB"/>
        </w:rPr>
        <w:t xml:space="preserve"> </w:t>
      </w:r>
      <w:r>
        <w:rPr>
          <w:rFonts w:hint="eastAsia" w:ascii="仿宋" w:hAnsi="仿宋" w:eastAsia="仿宋" w:cs="仿宋"/>
          <w:b/>
          <w:bCs/>
          <w:sz w:val="24"/>
          <w:szCs w:val="24"/>
          <w:lang w:val="en-GB"/>
        </w:rPr>
        <w:t xml:space="preserve"> </w:t>
      </w:r>
    </w:p>
    <w:p w14:paraId="22D5EA32">
      <w:pPr>
        <w:keepNext w:val="0"/>
        <w:keepLines w:val="0"/>
        <w:pageBreakBefore w:val="0"/>
        <w:widowControl w:val="0"/>
        <w:kinsoku/>
        <w:wordWrap/>
        <w:overflowPunct/>
        <w:topLinePunct w:val="0"/>
        <w:autoSpaceDE/>
        <w:autoSpaceDN/>
        <w:bidi w:val="0"/>
        <w:adjustRightInd/>
        <w:spacing w:line="360" w:lineRule="auto"/>
        <w:ind w:left="-105" w:leftChars="-50" w:firstLine="482" w:firstLineChars="20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GB" w:eastAsia="zh-CN"/>
        </w:rPr>
        <w:t>五</w:t>
      </w:r>
      <w:r>
        <w:rPr>
          <w:rFonts w:hint="eastAsia" w:ascii="仿宋" w:hAnsi="仿宋" w:eastAsia="仿宋" w:cs="仿宋"/>
          <w:b/>
          <w:bCs/>
          <w:color w:val="000000"/>
          <w:sz w:val="24"/>
          <w:szCs w:val="24"/>
          <w:lang w:val="en-GB"/>
        </w:rPr>
        <w:t>、投标文件必须由</w:t>
      </w:r>
      <w:r>
        <w:rPr>
          <w:rFonts w:hint="eastAsia" w:ascii="仿宋" w:hAnsi="仿宋" w:eastAsia="仿宋" w:cs="仿宋"/>
          <w:b/>
          <w:bCs/>
          <w:color w:val="000000"/>
          <w:sz w:val="24"/>
          <w:szCs w:val="24"/>
          <w:u w:val="single"/>
          <w:lang w:val="en-GB" w:eastAsia="zh-CN"/>
        </w:rPr>
        <w:t>投标</w:t>
      </w:r>
      <w:r>
        <w:rPr>
          <w:rFonts w:hint="eastAsia" w:ascii="仿宋" w:hAnsi="仿宋" w:eastAsia="仿宋" w:cs="仿宋"/>
          <w:b/>
          <w:bCs/>
          <w:color w:val="000000"/>
          <w:sz w:val="24"/>
          <w:szCs w:val="24"/>
          <w:u w:val="single"/>
          <w:lang w:val="en-GB"/>
        </w:rPr>
        <w:t>文件封面（盖公司公章，注明正、副本）、法定代表人授权书、公司营业执照复印件</w:t>
      </w:r>
      <w:r>
        <w:rPr>
          <w:rFonts w:hint="eastAsia" w:ascii="仿宋" w:hAnsi="仿宋" w:eastAsia="仿宋" w:cs="仿宋"/>
          <w:b/>
          <w:bCs/>
          <w:color w:val="000000"/>
          <w:sz w:val="24"/>
          <w:szCs w:val="24"/>
          <w:u w:val="single"/>
          <w:lang w:val="en-GB" w:eastAsia="zh-CN"/>
        </w:rPr>
        <w:t>、</w:t>
      </w:r>
      <w:r>
        <w:rPr>
          <w:rFonts w:hint="eastAsia" w:ascii="仿宋" w:hAnsi="仿宋" w:eastAsia="仿宋" w:cs="仿宋"/>
          <w:b/>
          <w:bCs/>
          <w:color w:val="000000"/>
          <w:sz w:val="24"/>
          <w:szCs w:val="24"/>
          <w:u w:val="single"/>
          <w:lang w:val="en-GB"/>
        </w:rPr>
        <w:t>投标函等内容组成</w:t>
      </w:r>
      <w:r>
        <w:rPr>
          <w:rFonts w:hint="eastAsia" w:ascii="仿宋" w:hAnsi="仿宋" w:eastAsia="仿宋" w:cs="仿宋"/>
          <w:b/>
          <w:bCs/>
          <w:color w:val="000000"/>
          <w:sz w:val="24"/>
          <w:szCs w:val="24"/>
          <w:u w:val="none"/>
          <w:lang w:val="en-GB" w:eastAsia="zh-CN"/>
        </w:rPr>
        <w:t>。</w:t>
      </w:r>
    </w:p>
    <w:p w14:paraId="1B0098D4">
      <w:pPr>
        <w:keepNext w:val="0"/>
        <w:keepLines w:val="0"/>
        <w:pageBreakBefore w:val="0"/>
        <w:widowControl w:val="0"/>
        <w:kinsoku/>
        <w:wordWrap/>
        <w:overflowPunct/>
        <w:topLinePunct w:val="0"/>
        <w:autoSpaceDE/>
        <w:autoSpaceDN/>
        <w:bidi w:val="0"/>
        <w:adjustRightInd/>
        <w:spacing w:line="360" w:lineRule="auto"/>
        <w:ind w:left="-210" w:leftChars="-100" w:firstLine="600" w:firstLineChars="250"/>
        <w:textAlignment w:val="auto"/>
        <w:rPr>
          <w:rFonts w:hint="eastAsia" w:ascii="仿宋" w:hAnsi="仿宋" w:eastAsia="仿宋" w:cs="仿宋"/>
          <w:sz w:val="24"/>
          <w:szCs w:val="24"/>
          <w:lang w:val="en-GB" w:eastAsia="zh-CN"/>
        </w:rPr>
      </w:pPr>
      <w:r>
        <w:rPr>
          <w:rFonts w:hint="eastAsia" w:ascii="仿宋" w:hAnsi="仿宋" w:eastAsia="仿宋" w:cs="仿宋"/>
          <w:sz w:val="24"/>
          <w:szCs w:val="24"/>
          <w:lang w:eastAsia="zh-CN"/>
        </w:rPr>
        <w:t>六</w:t>
      </w:r>
      <w:r>
        <w:rPr>
          <w:rFonts w:hint="eastAsia" w:ascii="仿宋" w:hAnsi="仿宋" w:eastAsia="仿宋" w:cs="仿宋"/>
          <w:sz w:val="24"/>
          <w:szCs w:val="24"/>
        </w:rPr>
        <w:t>、</w:t>
      </w:r>
      <w:r>
        <w:rPr>
          <w:rFonts w:hint="eastAsia" w:ascii="仿宋" w:hAnsi="仿宋" w:eastAsia="仿宋" w:cs="仿宋"/>
          <w:b/>
          <w:bCs/>
          <w:sz w:val="24"/>
          <w:szCs w:val="24"/>
          <w:u w:val="single"/>
          <w:lang w:eastAsia="zh-CN"/>
        </w:rPr>
        <w:t>投标</w:t>
      </w:r>
      <w:r>
        <w:rPr>
          <w:rFonts w:hint="eastAsia" w:ascii="仿宋" w:hAnsi="仿宋" w:eastAsia="仿宋" w:cs="仿宋"/>
          <w:b/>
          <w:bCs/>
          <w:sz w:val="24"/>
          <w:szCs w:val="24"/>
          <w:u w:val="single"/>
        </w:rPr>
        <w:t>文件一式三份，正本一份，副本二份，</w:t>
      </w:r>
      <w:r>
        <w:rPr>
          <w:rFonts w:hint="eastAsia" w:ascii="仿宋" w:hAnsi="仿宋" w:eastAsia="仿宋" w:cs="仿宋"/>
          <w:sz w:val="24"/>
          <w:szCs w:val="24"/>
          <w:lang w:val="en-GB"/>
        </w:rPr>
        <w:t>正本和副本一齐密封封装。一旦正本和副本内容有差异，均以正本为准</w:t>
      </w:r>
      <w:r>
        <w:rPr>
          <w:rFonts w:hint="eastAsia" w:ascii="仿宋" w:hAnsi="仿宋" w:eastAsia="仿宋" w:cs="仿宋"/>
          <w:sz w:val="24"/>
          <w:szCs w:val="24"/>
          <w:lang w:val="en-GB" w:eastAsia="zh-CN"/>
        </w:rPr>
        <w:t>。</w:t>
      </w:r>
    </w:p>
    <w:p w14:paraId="6B645606">
      <w:pPr>
        <w:keepNext w:val="0"/>
        <w:keepLines w:val="0"/>
        <w:pageBreakBefore w:val="0"/>
        <w:widowControl w:val="0"/>
        <w:kinsoku/>
        <w:wordWrap/>
        <w:overflowPunct/>
        <w:topLinePunct w:val="0"/>
        <w:autoSpaceDE/>
        <w:autoSpaceDN/>
        <w:bidi w:val="0"/>
        <w:adjustRightInd/>
        <w:spacing w:line="360" w:lineRule="auto"/>
        <w:ind w:left="-210" w:leftChars="-100" w:firstLine="600" w:firstLineChars="250"/>
        <w:textAlignment w:val="auto"/>
        <w:rPr>
          <w:rFonts w:hint="eastAsia" w:ascii="仿宋" w:hAnsi="仿宋" w:eastAsia="仿宋" w:cs="仿宋"/>
          <w:sz w:val="24"/>
          <w:szCs w:val="24"/>
          <w:lang w:val="en-GB" w:eastAsia="zh-CN"/>
        </w:rPr>
      </w:pPr>
      <w:r>
        <w:rPr>
          <w:rFonts w:hint="eastAsia" w:ascii="仿宋" w:hAnsi="仿宋" w:eastAsia="仿宋" w:cs="仿宋"/>
          <w:sz w:val="24"/>
          <w:szCs w:val="24"/>
          <w:lang w:eastAsia="zh-CN"/>
        </w:rPr>
        <w:t>七</w:t>
      </w:r>
      <w:r>
        <w:rPr>
          <w:rFonts w:hint="eastAsia" w:ascii="仿宋" w:hAnsi="仿宋" w:eastAsia="仿宋" w:cs="仿宋"/>
          <w:sz w:val="24"/>
          <w:szCs w:val="24"/>
        </w:rPr>
        <w:t>、</w:t>
      </w:r>
      <w:r>
        <w:rPr>
          <w:rFonts w:hint="eastAsia" w:ascii="仿宋" w:hAnsi="仿宋" w:eastAsia="仿宋" w:cs="仿宋"/>
          <w:sz w:val="24"/>
          <w:szCs w:val="24"/>
          <w:lang w:val="en-GB"/>
        </w:rPr>
        <w:t>任何行间插字、涂改和增删，必须由投标人授权代表在旁边签字后方为有效</w:t>
      </w:r>
      <w:r>
        <w:rPr>
          <w:rFonts w:hint="eastAsia" w:ascii="仿宋" w:hAnsi="仿宋" w:eastAsia="仿宋" w:cs="仿宋"/>
          <w:sz w:val="24"/>
          <w:szCs w:val="24"/>
          <w:lang w:val="en-GB" w:eastAsia="zh-CN"/>
        </w:rPr>
        <w:t>。</w:t>
      </w:r>
    </w:p>
    <w:p w14:paraId="5D295FDB">
      <w:pPr>
        <w:keepNext w:val="0"/>
        <w:keepLines w:val="0"/>
        <w:pageBreakBefore w:val="0"/>
        <w:widowControl w:val="0"/>
        <w:kinsoku/>
        <w:wordWrap/>
        <w:overflowPunct/>
        <w:topLinePunct w:val="0"/>
        <w:autoSpaceDE/>
        <w:autoSpaceDN/>
        <w:bidi w:val="0"/>
        <w:adjustRightInd/>
        <w:spacing w:line="360" w:lineRule="auto"/>
        <w:ind w:left="-210" w:leftChars="-100" w:firstLine="600" w:firstLineChars="25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八</w:t>
      </w:r>
      <w:r>
        <w:rPr>
          <w:rFonts w:hint="eastAsia" w:ascii="仿宋" w:hAnsi="仿宋" w:eastAsia="仿宋" w:cs="仿宋"/>
          <w:sz w:val="24"/>
          <w:szCs w:val="24"/>
        </w:rPr>
        <w:t>、供应商开标后撤回投标、成交后不履约和提供虚假证明的，被列入不良供应商</w:t>
      </w:r>
      <w:r>
        <w:rPr>
          <w:rFonts w:hint="eastAsia" w:ascii="仿宋" w:hAnsi="仿宋" w:eastAsia="仿宋" w:cs="仿宋"/>
          <w:sz w:val="24"/>
          <w:szCs w:val="24"/>
          <w:lang w:eastAsia="zh-CN"/>
        </w:rPr>
        <w:t>。</w:t>
      </w:r>
    </w:p>
    <w:p w14:paraId="78E98FBA">
      <w:pPr>
        <w:keepNext w:val="0"/>
        <w:keepLines w:val="0"/>
        <w:pageBreakBefore w:val="0"/>
        <w:widowControl w:val="0"/>
        <w:kinsoku/>
        <w:wordWrap/>
        <w:overflowPunct/>
        <w:topLinePunct w:val="0"/>
        <w:autoSpaceDE/>
        <w:autoSpaceDN/>
        <w:bidi w:val="0"/>
        <w:adjustRightInd/>
        <w:spacing w:line="360" w:lineRule="auto"/>
        <w:ind w:left="-210" w:leftChars="-100" w:firstLine="600" w:firstLineChars="250"/>
        <w:textAlignment w:val="auto"/>
        <w:rPr>
          <w:rFonts w:hint="eastAsia" w:ascii="仿宋" w:hAnsi="仿宋" w:eastAsia="仿宋" w:cs="仿宋"/>
          <w:sz w:val="24"/>
          <w:lang w:eastAsia="zh-CN"/>
        </w:rPr>
      </w:pPr>
      <w:r>
        <w:rPr>
          <w:rFonts w:hint="eastAsia" w:ascii="仿宋" w:hAnsi="仿宋" w:eastAsia="仿宋" w:cs="仿宋"/>
          <w:sz w:val="24"/>
          <w:szCs w:val="24"/>
          <w:lang w:eastAsia="zh-CN"/>
        </w:rPr>
        <w:t>九</w:t>
      </w:r>
      <w:r>
        <w:rPr>
          <w:rFonts w:hint="eastAsia" w:ascii="仿宋" w:hAnsi="仿宋" w:eastAsia="仿宋" w:cs="仿宋"/>
          <w:sz w:val="24"/>
          <w:szCs w:val="24"/>
        </w:rPr>
        <w:t>、</w:t>
      </w:r>
      <w:r>
        <w:rPr>
          <w:rFonts w:hint="eastAsia" w:ascii="仿宋" w:hAnsi="仿宋" w:eastAsia="仿宋" w:cs="仿宋"/>
          <w:sz w:val="24"/>
        </w:rPr>
        <w:t>报价均以人民币为结算货币包括</w:t>
      </w:r>
      <w:r>
        <w:rPr>
          <w:rFonts w:hint="eastAsia" w:ascii="仿宋" w:hAnsi="仿宋" w:eastAsia="仿宋" w:cs="仿宋"/>
          <w:sz w:val="24"/>
          <w:lang w:eastAsia="zh-CN"/>
        </w:rPr>
        <w:t>货物费、</w:t>
      </w:r>
      <w:r>
        <w:rPr>
          <w:rFonts w:hint="eastAsia" w:ascii="仿宋" w:hAnsi="仿宋" w:eastAsia="仿宋" w:cs="仿宋"/>
          <w:sz w:val="24"/>
        </w:rPr>
        <w:t>服务费、税费等完成本项目所需的所有费用</w:t>
      </w:r>
      <w:r>
        <w:rPr>
          <w:rFonts w:hint="eastAsia" w:ascii="仿宋" w:hAnsi="仿宋" w:eastAsia="仿宋" w:cs="仿宋"/>
          <w:sz w:val="24"/>
          <w:lang w:eastAsia="zh-CN"/>
        </w:rPr>
        <w:t>。</w:t>
      </w:r>
    </w:p>
    <w:p w14:paraId="628ABA35">
      <w:pPr>
        <w:widowControl/>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仿宋" w:hAnsi="仿宋" w:eastAsia="仿宋" w:cs="仿宋"/>
          <w:sz w:val="24"/>
          <w:szCs w:val="24"/>
          <w:lang w:eastAsia="zh-CN"/>
        </w:rPr>
        <w:t>十</w:t>
      </w:r>
      <w:r>
        <w:rPr>
          <w:rFonts w:hint="eastAsia" w:ascii="仿宋" w:hAnsi="仿宋" w:eastAsia="仿宋" w:cs="仿宋"/>
          <w:sz w:val="24"/>
          <w:szCs w:val="24"/>
        </w:rPr>
        <w:t>、</w:t>
      </w:r>
      <w:r>
        <w:rPr>
          <w:rFonts w:hint="eastAsia" w:ascii="仿宋" w:hAnsi="仿宋" w:eastAsia="仿宋" w:cs="仿宋"/>
          <w:sz w:val="24"/>
          <w:szCs w:val="24"/>
          <w:lang w:eastAsia="zh-CN"/>
        </w:rPr>
        <w:t>评标结果公示：</w:t>
      </w:r>
      <w:r>
        <w:rPr>
          <w:rFonts w:hint="eastAsia" w:ascii="仿宋" w:hAnsi="仿宋" w:eastAsia="仿宋" w:cs="仿宋"/>
          <w:sz w:val="24"/>
          <w:szCs w:val="24"/>
        </w:rPr>
        <w:t>在中标供应商确定之日起2个工作日内，将在桐庐县青少年宫（https://tl.qsng.cn）发布中标公告，公告期限为</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115E7F18">
      <w:pPr>
        <w:pStyle w:val="26"/>
        <w:rPr>
          <w:rFonts w:hint="eastAsia" w:ascii="宋体" w:hAnsi="宋体" w:eastAsia="宋体" w:cs="宋体"/>
          <w:color w:val="000000" w:themeColor="text1"/>
          <w:sz w:val="24"/>
          <w:szCs w:val="24"/>
          <w:highlight w:val="none"/>
          <w14:textFill>
            <w14:solidFill>
              <w14:schemeClr w14:val="tx1"/>
            </w14:solidFill>
          </w14:textFill>
        </w:rPr>
      </w:pPr>
    </w:p>
    <w:p w14:paraId="11B6E11A">
      <w:pPr>
        <w:rPr>
          <w:rFonts w:hint="eastAsia" w:ascii="宋体" w:hAnsi="宋体" w:eastAsia="宋体" w:cs="宋体"/>
          <w:color w:val="000000" w:themeColor="text1"/>
          <w:sz w:val="24"/>
          <w:szCs w:val="24"/>
          <w:highlight w:val="none"/>
          <w14:textFill>
            <w14:solidFill>
              <w14:schemeClr w14:val="tx1"/>
            </w14:solidFill>
          </w14:textFill>
        </w:rPr>
      </w:pPr>
    </w:p>
    <w:p w14:paraId="2D4798EE">
      <w:pPr>
        <w:pStyle w:val="85"/>
        <w:rPr>
          <w:rFonts w:hint="eastAsia" w:ascii="宋体" w:hAnsi="宋体" w:eastAsia="宋体" w:cs="宋体"/>
          <w:color w:val="000000" w:themeColor="text1"/>
          <w:sz w:val="24"/>
          <w:szCs w:val="24"/>
          <w:highlight w:val="none"/>
          <w14:textFill>
            <w14:solidFill>
              <w14:schemeClr w14:val="tx1"/>
            </w14:solidFill>
          </w14:textFill>
        </w:rPr>
      </w:pPr>
    </w:p>
    <w:p w14:paraId="67A1B3C4">
      <w:pPr>
        <w:pStyle w:val="85"/>
        <w:rPr>
          <w:rFonts w:hint="eastAsia" w:ascii="宋体" w:hAnsi="宋体" w:eastAsia="宋体" w:cs="宋体"/>
          <w:color w:val="000000" w:themeColor="text1"/>
          <w:sz w:val="24"/>
          <w:szCs w:val="24"/>
          <w:highlight w:val="none"/>
          <w14:textFill>
            <w14:solidFill>
              <w14:schemeClr w14:val="tx1"/>
            </w14:solidFill>
          </w14:textFill>
        </w:rPr>
      </w:pPr>
    </w:p>
    <w:p w14:paraId="2DE9F941">
      <w:pPr>
        <w:pStyle w:val="26"/>
        <w:ind w:left="0" w:leftChars="0"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7A7BC5B5">
      <w:pPr>
        <w:spacing w:line="360" w:lineRule="auto"/>
        <w:ind w:left="5509" w:leftChars="2052" w:hanging="1200" w:hangingChars="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7C1B5FAA">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日期：</w:t>
      </w:r>
    </w:p>
    <w:p w14:paraId="1AFD1B4F">
      <w:pPr>
        <w:spacing w:line="360" w:lineRule="auto"/>
        <w:jc w:val="both"/>
        <w:rPr>
          <w:rFonts w:hint="eastAsia" w:ascii="宋体" w:hAnsi="宋体" w:eastAsia="宋体" w:cs="宋体"/>
          <w:bCs/>
          <w:color w:val="000000" w:themeColor="text1"/>
          <w:sz w:val="24"/>
          <w:highlight w:val="none"/>
          <w14:textFill>
            <w14:solidFill>
              <w14:schemeClr w14:val="tx1"/>
            </w14:solidFill>
          </w14:textFill>
        </w:rPr>
      </w:pPr>
    </w:p>
    <w:sectPr>
      <w:headerReference r:id="rId6" w:type="first"/>
      <w:footerReference r:id="rId9" w:type="first"/>
      <w:headerReference r:id="rId5" w:type="default"/>
      <w:footerReference r:id="rId7" w:type="default"/>
      <w:footerReference r:id="rId8" w:type="even"/>
      <w:pgSz w:w="11906" w:h="16838"/>
      <w:pgMar w:top="1276" w:right="1417" w:bottom="1247"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6F2F">
    <w:pPr>
      <w:pStyle w:val="4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F2D41">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EF2D41">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C8DE">
    <w:pPr>
      <w:pStyle w:val="42"/>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1F237">
                          <w:pPr>
                            <w:pStyle w:val="4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31F237">
                    <w:pPr>
                      <w:pStyle w:val="4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BD9D">
    <w:pPr>
      <w:pStyle w:val="42"/>
      <w:framePr w:wrap="around" w:vAnchor="text" w:hAnchor="margin" w:xAlign="right" w:y="1"/>
      <w:rPr>
        <w:rStyle w:val="72"/>
      </w:rPr>
    </w:pPr>
    <w:r>
      <w:fldChar w:fldCharType="begin"/>
    </w:r>
    <w:r>
      <w:rPr>
        <w:rStyle w:val="72"/>
      </w:rPr>
      <w:instrText xml:space="preserve">PAGE  </w:instrText>
    </w:r>
    <w:r>
      <w:fldChar w:fldCharType="end"/>
    </w:r>
  </w:p>
  <w:p w14:paraId="7DA1895F">
    <w:pPr>
      <w:pStyle w:val="4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6549">
    <w:pPr>
      <w:pStyle w:val="42"/>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02D52">
                          <w:pPr>
                            <w:pStyle w:val="4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102D52">
                    <w:pPr>
                      <w:pStyle w:val="4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09AB">
    <w:pPr>
      <w:ind w:left="0" w:leftChars="0" w:firstLine="0" w:firstLineChars="0"/>
      <w:jc w:val="left"/>
      <w:rPr>
        <w:rFonts w:ascii="仿宋_GB2312" w:eastAsia="仿宋_GB2312"/>
        <w:b w:val="0"/>
        <w:i/>
        <w:sz w:val="18"/>
        <w:u w:val="single"/>
        <w:lang w:val="en-US"/>
      </w:rPr>
    </w:pPr>
    <w:r>
      <w:rPr>
        <w:rFonts w:hint="eastAsia" w:ascii="宋体" w:hAnsi="宋体" w:cs="宋体"/>
        <w:b w:val="0"/>
        <w:bCs w:val="0"/>
        <w:sz w:val="22"/>
        <w:szCs w:val="22"/>
        <w:u w:val="single"/>
        <w:lang w:val="en-US" w:eastAsia="zh-CN"/>
      </w:rPr>
      <w:t>2025年桐庐县青少年宫消防维保单位采购项目</w:t>
    </w:r>
    <w:r>
      <w:rPr>
        <w:rFonts w:hint="eastAsia" w:ascii="宋体" w:hAnsi="宋体" w:eastAsia="宋体" w:cs="宋体"/>
        <w:b w:val="0"/>
        <w:bCs w:val="0"/>
        <w:sz w:val="22"/>
        <w:szCs w:val="22"/>
        <w:u w:val="single"/>
        <w:lang w:val="en-US" w:eastAsia="zh-CN"/>
      </w:rPr>
      <w:t xml:space="preserve">       </w:t>
    </w:r>
    <w:r>
      <w:rPr>
        <w:rFonts w:hint="eastAsia" w:ascii="宋体" w:hAnsi="宋体" w:cs="宋体"/>
        <w:b w:val="0"/>
        <w:bCs w:val="0"/>
        <w:sz w:val="22"/>
        <w:szCs w:val="22"/>
        <w:u w:val="single"/>
        <w:lang w:val="en-US" w:eastAsia="zh-CN"/>
      </w:rPr>
      <w:t xml:space="preserve">               </w:t>
    </w:r>
    <w:r>
      <w:rPr>
        <w:rFonts w:hint="eastAsia" w:ascii="宋体" w:hAnsi="宋体" w:eastAsia="宋体" w:cs="宋体"/>
        <w:b w:val="0"/>
        <w:bCs w:val="0"/>
        <w:sz w:val="22"/>
        <w:szCs w:val="22"/>
        <w:u w:val="single"/>
        <w:lang w:val="en-US" w:eastAsia="zh-CN"/>
      </w:rPr>
      <w:t xml:space="preserve">      【询价</w:t>
    </w:r>
    <w:r>
      <w:rPr>
        <w:rFonts w:hint="eastAsia" w:ascii="宋体" w:hAnsi="宋体" w:cs="宋体"/>
        <w:b w:val="0"/>
        <w:bCs w:val="0"/>
        <w:sz w:val="22"/>
        <w:szCs w:val="22"/>
        <w:u w:val="single"/>
        <w:lang w:val="en-US" w:eastAsia="zh-CN"/>
      </w:rPr>
      <w:t>文件</w:t>
    </w:r>
    <w:r>
      <w:rPr>
        <w:rFonts w:hint="eastAsia" w:ascii="宋体" w:hAnsi="宋体" w:eastAsia="宋体" w:cs="宋体"/>
        <w:b w:val="0"/>
        <w:bCs w:val="0"/>
        <w:sz w:val="22"/>
        <w:szCs w:val="22"/>
        <w:u w:val="single"/>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D780E">
    <w:pPr>
      <w:ind w:left="0" w:leftChars="0" w:firstLine="0" w:firstLineChars="0"/>
      <w:jc w:val="left"/>
      <w:rPr>
        <w:u w:val="single"/>
      </w:rPr>
    </w:pPr>
    <w:r>
      <w:rPr>
        <w:rFonts w:hint="eastAsia" w:ascii="宋体" w:hAnsi="宋体" w:cs="宋体"/>
        <w:b w:val="0"/>
        <w:bCs w:val="0"/>
        <w:sz w:val="22"/>
        <w:szCs w:val="22"/>
        <w:u w:val="single"/>
        <w:lang w:val="en-US" w:eastAsia="zh-CN"/>
      </w:rPr>
      <w:t>2025年桐庐县青少年宫消防维保单位采购项目</w:t>
    </w:r>
    <w:r>
      <w:rPr>
        <w:rFonts w:hint="eastAsia" w:ascii="宋体" w:hAnsi="宋体" w:eastAsia="宋体" w:cs="宋体"/>
        <w:b w:val="0"/>
        <w:bCs w:val="0"/>
        <w:sz w:val="22"/>
        <w:szCs w:val="22"/>
        <w:u w:val="single"/>
        <w:lang w:val="en-US" w:eastAsia="zh-CN"/>
      </w:rPr>
      <w:t xml:space="preserve">       </w:t>
    </w:r>
    <w:r>
      <w:rPr>
        <w:rFonts w:hint="eastAsia" w:ascii="宋体" w:hAnsi="宋体" w:cs="宋体"/>
        <w:b w:val="0"/>
        <w:bCs w:val="0"/>
        <w:sz w:val="22"/>
        <w:szCs w:val="22"/>
        <w:u w:val="single"/>
        <w:lang w:val="en-US" w:eastAsia="zh-CN"/>
      </w:rPr>
      <w:t xml:space="preserve">               </w:t>
    </w:r>
    <w:r>
      <w:rPr>
        <w:rFonts w:hint="eastAsia" w:ascii="宋体" w:hAnsi="宋体" w:eastAsia="宋体" w:cs="宋体"/>
        <w:b w:val="0"/>
        <w:bCs w:val="0"/>
        <w:sz w:val="22"/>
        <w:szCs w:val="22"/>
        <w:u w:val="single"/>
        <w:lang w:val="en-US" w:eastAsia="zh-CN"/>
      </w:rPr>
      <w:t xml:space="preserve">      【询价</w:t>
    </w:r>
    <w:r>
      <w:rPr>
        <w:rFonts w:hint="eastAsia" w:ascii="宋体" w:hAnsi="宋体" w:cs="宋体"/>
        <w:b w:val="0"/>
        <w:bCs w:val="0"/>
        <w:sz w:val="22"/>
        <w:szCs w:val="22"/>
        <w:u w:val="single"/>
        <w:lang w:val="en-US" w:eastAsia="zh-CN"/>
      </w:rPr>
      <w:t>文件</w:t>
    </w:r>
    <w:r>
      <w:rPr>
        <w:rFonts w:hint="eastAsia" w:ascii="宋体" w:hAnsi="宋体" w:eastAsia="宋体" w:cs="宋体"/>
        <w:b w:val="0"/>
        <w:bCs w:val="0"/>
        <w:sz w:val="22"/>
        <w:szCs w:val="22"/>
        <w:u w:val="single"/>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38004">
    <w:pPr>
      <w:ind w:left="0" w:leftChars="0" w:firstLine="0" w:firstLineChars="0"/>
      <w:jc w:val="left"/>
      <w:rPr>
        <w:u w:val="single"/>
      </w:rPr>
    </w:pPr>
    <w:r>
      <w:rPr>
        <w:rFonts w:hint="eastAsia" w:ascii="宋体" w:hAnsi="宋体" w:cs="宋体"/>
        <w:b w:val="0"/>
        <w:bCs w:val="0"/>
        <w:sz w:val="22"/>
        <w:szCs w:val="22"/>
        <w:u w:val="single"/>
        <w:lang w:val="en-US" w:eastAsia="zh-CN"/>
      </w:rPr>
      <w:t>2025年桐庐县青少年宫消防维保单位采购项目</w:t>
    </w:r>
    <w:r>
      <w:rPr>
        <w:rFonts w:hint="eastAsia" w:ascii="宋体" w:hAnsi="宋体" w:eastAsia="宋体" w:cs="宋体"/>
        <w:b w:val="0"/>
        <w:bCs w:val="0"/>
        <w:sz w:val="22"/>
        <w:szCs w:val="22"/>
        <w:u w:val="single"/>
        <w:lang w:val="en-US" w:eastAsia="zh-CN"/>
      </w:rPr>
      <w:t xml:space="preserve">       </w:t>
    </w:r>
    <w:r>
      <w:rPr>
        <w:rFonts w:hint="eastAsia" w:ascii="宋体" w:hAnsi="宋体" w:cs="宋体"/>
        <w:b w:val="0"/>
        <w:bCs w:val="0"/>
        <w:sz w:val="22"/>
        <w:szCs w:val="22"/>
        <w:u w:val="single"/>
        <w:lang w:val="en-US" w:eastAsia="zh-CN"/>
      </w:rPr>
      <w:t xml:space="preserve">               </w:t>
    </w:r>
    <w:r>
      <w:rPr>
        <w:rFonts w:hint="eastAsia" w:ascii="宋体" w:hAnsi="宋体" w:eastAsia="宋体" w:cs="宋体"/>
        <w:b w:val="0"/>
        <w:bCs w:val="0"/>
        <w:sz w:val="22"/>
        <w:szCs w:val="22"/>
        <w:u w:val="single"/>
        <w:lang w:val="en-US" w:eastAsia="zh-CN"/>
      </w:rPr>
      <w:t xml:space="preserve">      【询价</w:t>
    </w:r>
    <w:r>
      <w:rPr>
        <w:rFonts w:hint="eastAsia" w:ascii="宋体" w:hAnsi="宋体" w:cs="宋体"/>
        <w:b w:val="0"/>
        <w:bCs w:val="0"/>
        <w:sz w:val="22"/>
        <w:szCs w:val="22"/>
        <w:u w:val="single"/>
        <w:lang w:val="en-US" w:eastAsia="zh-CN"/>
      </w:rPr>
      <w:t>文件</w:t>
    </w:r>
    <w:r>
      <w:rPr>
        <w:rFonts w:hint="eastAsia" w:ascii="宋体" w:hAnsi="宋体" w:eastAsia="宋体" w:cs="宋体"/>
        <w:b w:val="0"/>
        <w:bCs w:val="0"/>
        <w:sz w:val="22"/>
        <w:szCs w:val="22"/>
        <w:u w:val="single"/>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25B3A"/>
    <w:multiLevelType w:val="singleLevel"/>
    <w:tmpl w:val="E9B25B3A"/>
    <w:lvl w:ilvl="0" w:tentative="0">
      <w:start w:val="1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MTQ4MTQxMTg2MjI1ZjkyODU0OWNiMjNmMDEwMD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256"/>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9E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563"/>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EB"/>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7B5688"/>
    <w:rsid w:val="017C0A60"/>
    <w:rsid w:val="019F7441"/>
    <w:rsid w:val="01B37585"/>
    <w:rsid w:val="01D37272"/>
    <w:rsid w:val="01D55165"/>
    <w:rsid w:val="01DF6BF8"/>
    <w:rsid w:val="01E21263"/>
    <w:rsid w:val="01EC2C57"/>
    <w:rsid w:val="02184C85"/>
    <w:rsid w:val="026B2E25"/>
    <w:rsid w:val="02785724"/>
    <w:rsid w:val="02824D4D"/>
    <w:rsid w:val="028440C8"/>
    <w:rsid w:val="02D0730E"/>
    <w:rsid w:val="02DC4B10"/>
    <w:rsid w:val="02DD76CE"/>
    <w:rsid w:val="02E62FD5"/>
    <w:rsid w:val="02F36323"/>
    <w:rsid w:val="02F5619C"/>
    <w:rsid w:val="03192A63"/>
    <w:rsid w:val="0326446A"/>
    <w:rsid w:val="032D5555"/>
    <w:rsid w:val="03327FC8"/>
    <w:rsid w:val="036164FF"/>
    <w:rsid w:val="036634D2"/>
    <w:rsid w:val="03B7227C"/>
    <w:rsid w:val="03CF3FFD"/>
    <w:rsid w:val="03DD35E4"/>
    <w:rsid w:val="04076900"/>
    <w:rsid w:val="041A5A3B"/>
    <w:rsid w:val="04207E21"/>
    <w:rsid w:val="042311BA"/>
    <w:rsid w:val="042B157A"/>
    <w:rsid w:val="04553F6E"/>
    <w:rsid w:val="046A467A"/>
    <w:rsid w:val="046B5540"/>
    <w:rsid w:val="048F763B"/>
    <w:rsid w:val="049D029E"/>
    <w:rsid w:val="049F330E"/>
    <w:rsid w:val="04A66578"/>
    <w:rsid w:val="04AA775C"/>
    <w:rsid w:val="04AF1889"/>
    <w:rsid w:val="04BA64C7"/>
    <w:rsid w:val="04BF3ADE"/>
    <w:rsid w:val="04F33787"/>
    <w:rsid w:val="04F66F48"/>
    <w:rsid w:val="04FC088E"/>
    <w:rsid w:val="04FC43EA"/>
    <w:rsid w:val="05155543"/>
    <w:rsid w:val="05251E14"/>
    <w:rsid w:val="057C19CF"/>
    <w:rsid w:val="05852631"/>
    <w:rsid w:val="05A16594"/>
    <w:rsid w:val="05A7762D"/>
    <w:rsid w:val="05C0366A"/>
    <w:rsid w:val="06035C4C"/>
    <w:rsid w:val="060E5941"/>
    <w:rsid w:val="06110369"/>
    <w:rsid w:val="06110FAF"/>
    <w:rsid w:val="062A122C"/>
    <w:rsid w:val="062C52C2"/>
    <w:rsid w:val="06493CA7"/>
    <w:rsid w:val="064A4EB4"/>
    <w:rsid w:val="065A6178"/>
    <w:rsid w:val="066F1CF3"/>
    <w:rsid w:val="0680729D"/>
    <w:rsid w:val="06930BB8"/>
    <w:rsid w:val="06994F63"/>
    <w:rsid w:val="06A765D7"/>
    <w:rsid w:val="06D6791D"/>
    <w:rsid w:val="070F0039"/>
    <w:rsid w:val="07245D42"/>
    <w:rsid w:val="07264C62"/>
    <w:rsid w:val="07376938"/>
    <w:rsid w:val="075C16CF"/>
    <w:rsid w:val="07750484"/>
    <w:rsid w:val="0779354C"/>
    <w:rsid w:val="078057A6"/>
    <w:rsid w:val="07886BEA"/>
    <w:rsid w:val="079254DA"/>
    <w:rsid w:val="0797664C"/>
    <w:rsid w:val="07A42B46"/>
    <w:rsid w:val="07AD40C1"/>
    <w:rsid w:val="07AE5035"/>
    <w:rsid w:val="07B74F40"/>
    <w:rsid w:val="07BF29A6"/>
    <w:rsid w:val="08061376"/>
    <w:rsid w:val="081B727D"/>
    <w:rsid w:val="082A74C0"/>
    <w:rsid w:val="08452D77"/>
    <w:rsid w:val="08587F02"/>
    <w:rsid w:val="086401F8"/>
    <w:rsid w:val="08751CAA"/>
    <w:rsid w:val="087E4C40"/>
    <w:rsid w:val="0887615A"/>
    <w:rsid w:val="08AC25CB"/>
    <w:rsid w:val="08BD0334"/>
    <w:rsid w:val="08CE609D"/>
    <w:rsid w:val="08D66AD6"/>
    <w:rsid w:val="08DA33A3"/>
    <w:rsid w:val="08DD4532"/>
    <w:rsid w:val="08E753B1"/>
    <w:rsid w:val="08E80F13"/>
    <w:rsid w:val="08F161BC"/>
    <w:rsid w:val="09335624"/>
    <w:rsid w:val="093922A3"/>
    <w:rsid w:val="0944690F"/>
    <w:rsid w:val="09535675"/>
    <w:rsid w:val="095577E7"/>
    <w:rsid w:val="095F057D"/>
    <w:rsid w:val="09642282"/>
    <w:rsid w:val="09733572"/>
    <w:rsid w:val="09772C16"/>
    <w:rsid w:val="098353B5"/>
    <w:rsid w:val="099A2423"/>
    <w:rsid w:val="09A92330"/>
    <w:rsid w:val="09B06B87"/>
    <w:rsid w:val="09C13146"/>
    <w:rsid w:val="09C86BD0"/>
    <w:rsid w:val="09CF47C3"/>
    <w:rsid w:val="09D92F4C"/>
    <w:rsid w:val="09E04166"/>
    <w:rsid w:val="0A1C0718"/>
    <w:rsid w:val="0A3E7710"/>
    <w:rsid w:val="0A5B7E63"/>
    <w:rsid w:val="0A5E16A3"/>
    <w:rsid w:val="0A7D421F"/>
    <w:rsid w:val="0AA374A5"/>
    <w:rsid w:val="0AAB7649"/>
    <w:rsid w:val="0ABC5606"/>
    <w:rsid w:val="0ADD081A"/>
    <w:rsid w:val="0AEC7A9E"/>
    <w:rsid w:val="0B0B35D9"/>
    <w:rsid w:val="0B0C35A5"/>
    <w:rsid w:val="0B1C18DA"/>
    <w:rsid w:val="0B2226D0"/>
    <w:rsid w:val="0B266665"/>
    <w:rsid w:val="0B30404E"/>
    <w:rsid w:val="0B470389"/>
    <w:rsid w:val="0B4C6C14"/>
    <w:rsid w:val="0B631A88"/>
    <w:rsid w:val="0B683D45"/>
    <w:rsid w:val="0B7F3F11"/>
    <w:rsid w:val="0B860EB1"/>
    <w:rsid w:val="0B884417"/>
    <w:rsid w:val="0B93537C"/>
    <w:rsid w:val="0BA310F0"/>
    <w:rsid w:val="0BB93035"/>
    <w:rsid w:val="0BBC48D3"/>
    <w:rsid w:val="0BD47E6F"/>
    <w:rsid w:val="0BED0F30"/>
    <w:rsid w:val="0BF6188C"/>
    <w:rsid w:val="0BF73C91"/>
    <w:rsid w:val="0C170175"/>
    <w:rsid w:val="0C2661F0"/>
    <w:rsid w:val="0C3C3C66"/>
    <w:rsid w:val="0C571A41"/>
    <w:rsid w:val="0C5C1171"/>
    <w:rsid w:val="0C5E1CBC"/>
    <w:rsid w:val="0C615B50"/>
    <w:rsid w:val="0C743400"/>
    <w:rsid w:val="0C756A08"/>
    <w:rsid w:val="0C8445DA"/>
    <w:rsid w:val="0C87121B"/>
    <w:rsid w:val="0CAF4438"/>
    <w:rsid w:val="0CC007F7"/>
    <w:rsid w:val="0CE642FD"/>
    <w:rsid w:val="0CFB767D"/>
    <w:rsid w:val="0CFE707A"/>
    <w:rsid w:val="0D026C5D"/>
    <w:rsid w:val="0D063BDA"/>
    <w:rsid w:val="0D08375F"/>
    <w:rsid w:val="0D184CFB"/>
    <w:rsid w:val="0D1D5845"/>
    <w:rsid w:val="0D4A7419"/>
    <w:rsid w:val="0D5174EC"/>
    <w:rsid w:val="0D5C636E"/>
    <w:rsid w:val="0D827401"/>
    <w:rsid w:val="0D837D9E"/>
    <w:rsid w:val="0D84094E"/>
    <w:rsid w:val="0D8A00E9"/>
    <w:rsid w:val="0D8C5A89"/>
    <w:rsid w:val="0D8D589E"/>
    <w:rsid w:val="0D9C676A"/>
    <w:rsid w:val="0DA01C73"/>
    <w:rsid w:val="0DAE649D"/>
    <w:rsid w:val="0DBA12E6"/>
    <w:rsid w:val="0DD63300"/>
    <w:rsid w:val="0DED6FC6"/>
    <w:rsid w:val="0DF26712"/>
    <w:rsid w:val="0DF50604"/>
    <w:rsid w:val="0DF702FE"/>
    <w:rsid w:val="0DF83B57"/>
    <w:rsid w:val="0DFA5B87"/>
    <w:rsid w:val="0E010CC3"/>
    <w:rsid w:val="0E060E51"/>
    <w:rsid w:val="0E344BF5"/>
    <w:rsid w:val="0E3C7F4D"/>
    <w:rsid w:val="0E5604B2"/>
    <w:rsid w:val="0E6D5D79"/>
    <w:rsid w:val="0E9D0089"/>
    <w:rsid w:val="0EAF4BC3"/>
    <w:rsid w:val="0EB21FBD"/>
    <w:rsid w:val="0EB803EE"/>
    <w:rsid w:val="0EE7435D"/>
    <w:rsid w:val="0EF94D4B"/>
    <w:rsid w:val="0F206487"/>
    <w:rsid w:val="0F3A0931"/>
    <w:rsid w:val="0F4958DC"/>
    <w:rsid w:val="0F515DF7"/>
    <w:rsid w:val="0F596BA8"/>
    <w:rsid w:val="0F6248D2"/>
    <w:rsid w:val="0F693536"/>
    <w:rsid w:val="0F7B0511"/>
    <w:rsid w:val="0F7B76D9"/>
    <w:rsid w:val="0F816ACD"/>
    <w:rsid w:val="0F8B2F3A"/>
    <w:rsid w:val="0F9832DB"/>
    <w:rsid w:val="0FBF3FD2"/>
    <w:rsid w:val="0FBF7FF3"/>
    <w:rsid w:val="0FCE2E27"/>
    <w:rsid w:val="0FD06A15"/>
    <w:rsid w:val="0FFE44EA"/>
    <w:rsid w:val="101A2510"/>
    <w:rsid w:val="10646583"/>
    <w:rsid w:val="10647CCA"/>
    <w:rsid w:val="10741C20"/>
    <w:rsid w:val="107C2883"/>
    <w:rsid w:val="107D4B15"/>
    <w:rsid w:val="108856CC"/>
    <w:rsid w:val="108A3C80"/>
    <w:rsid w:val="10C26171"/>
    <w:rsid w:val="10CF32FA"/>
    <w:rsid w:val="10E37188"/>
    <w:rsid w:val="10E943BC"/>
    <w:rsid w:val="10F33360"/>
    <w:rsid w:val="10FC16EA"/>
    <w:rsid w:val="110F1D40"/>
    <w:rsid w:val="111F1EC1"/>
    <w:rsid w:val="11266F33"/>
    <w:rsid w:val="11432BE8"/>
    <w:rsid w:val="117A3266"/>
    <w:rsid w:val="11832D17"/>
    <w:rsid w:val="118963A1"/>
    <w:rsid w:val="118B3818"/>
    <w:rsid w:val="119D0D03"/>
    <w:rsid w:val="11B62611"/>
    <w:rsid w:val="11C6522A"/>
    <w:rsid w:val="11E104CC"/>
    <w:rsid w:val="11E20309"/>
    <w:rsid w:val="11FE3E97"/>
    <w:rsid w:val="12255233"/>
    <w:rsid w:val="12530213"/>
    <w:rsid w:val="12753A2E"/>
    <w:rsid w:val="127723A9"/>
    <w:rsid w:val="12862074"/>
    <w:rsid w:val="12883966"/>
    <w:rsid w:val="129E45B4"/>
    <w:rsid w:val="12C14EC5"/>
    <w:rsid w:val="12C54CAD"/>
    <w:rsid w:val="12D81596"/>
    <w:rsid w:val="12D9220E"/>
    <w:rsid w:val="12EF558E"/>
    <w:rsid w:val="13051255"/>
    <w:rsid w:val="13072A44"/>
    <w:rsid w:val="134A6197"/>
    <w:rsid w:val="134E6759"/>
    <w:rsid w:val="13510784"/>
    <w:rsid w:val="135F4BE2"/>
    <w:rsid w:val="13622204"/>
    <w:rsid w:val="139B1A0A"/>
    <w:rsid w:val="139D148E"/>
    <w:rsid w:val="139D25C7"/>
    <w:rsid w:val="13B61687"/>
    <w:rsid w:val="13BF3CE4"/>
    <w:rsid w:val="13D604FC"/>
    <w:rsid w:val="13D824C6"/>
    <w:rsid w:val="13E421FA"/>
    <w:rsid w:val="13F866C4"/>
    <w:rsid w:val="1404150D"/>
    <w:rsid w:val="141008D8"/>
    <w:rsid w:val="14125FE6"/>
    <w:rsid w:val="14522278"/>
    <w:rsid w:val="146D17C7"/>
    <w:rsid w:val="146D271E"/>
    <w:rsid w:val="14795A57"/>
    <w:rsid w:val="14982588"/>
    <w:rsid w:val="149A59CD"/>
    <w:rsid w:val="149A5AD9"/>
    <w:rsid w:val="14A7619D"/>
    <w:rsid w:val="14BF374C"/>
    <w:rsid w:val="14D94748"/>
    <w:rsid w:val="150536C3"/>
    <w:rsid w:val="150C1963"/>
    <w:rsid w:val="151447A0"/>
    <w:rsid w:val="154A6454"/>
    <w:rsid w:val="15762120"/>
    <w:rsid w:val="157E0E4B"/>
    <w:rsid w:val="158226E9"/>
    <w:rsid w:val="15C745A0"/>
    <w:rsid w:val="15EE6035"/>
    <w:rsid w:val="15FF01DE"/>
    <w:rsid w:val="161E1B56"/>
    <w:rsid w:val="16337E88"/>
    <w:rsid w:val="165A5414"/>
    <w:rsid w:val="16905D94"/>
    <w:rsid w:val="1695644C"/>
    <w:rsid w:val="1699418F"/>
    <w:rsid w:val="169B46DF"/>
    <w:rsid w:val="16A8729C"/>
    <w:rsid w:val="16B33777"/>
    <w:rsid w:val="16BC70A7"/>
    <w:rsid w:val="16C6339E"/>
    <w:rsid w:val="16CB4564"/>
    <w:rsid w:val="16D056D6"/>
    <w:rsid w:val="171E4694"/>
    <w:rsid w:val="172F2D79"/>
    <w:rsid w:val="1735378C"/>
    <w:rsid w:val="17410382"/>
    <w:rsid w:val="17455CE8"/>
    <w:rsid w:val="17557BEF"/>
    <w:rsid w:val="17654071"/>
    <w:rsid w:val="176F3141"/>
    <w:rsid w:val="17C35426"/>
    <w:rsid w:val="17D349C1"/>
    <w:rsid w:val="17E4561C"/>
    <w:rsid w:val="18041ADC"/>
    <w:rsid w:val="181831EF"/>
    <w:rsid w:val="182C4B8E"/>
    <w:rsid w:val="1830729E"/>
    <w:rsid w:val="18562BF8"/>
    <w:rsid w:val="185A5BA0"/>
    <w:rsid w:val="1870062C"/>
    <w:rsid w:val="18817102"/>
    <w:rsid w:val="18830A15"/>
    <w:rsid w:val="18852B28"/>
    <w:rsid w:val="188B5321"/>
    <w:rsid w:val="18CE3258"/>
    <w:rsid w:val="18ED2570"/>
    <w:rsid w:val="18F112AB"/>
    <w:rsid w:val="191E097B"/>
    <w:rsid w:val="19235F91"/>
    <w:rsid w:val="19502AFF"/>
    <w:rsid w:val="196C6D3F"/>
    <w:rsid w:val="196D0FD0"/>
    <w:rsid w:val="19932372"/>
    <w:rsid w:val="19A20DD5"/>
    <w:rsid w:val="19AE03F1"/>
    <w:rsid w:val="19B94B48"/>
    <w:rsid w:val="19CA72DF"/>
    <w:rsid w:val="19CC03D7"/>
    <w:rsid w:val="19DC4392"/>
    <w:rsid w:val="19EA2F53"/>
    <w:rsid w:val="1A071A03"/>
    <w:rsid w:val="1A0F5328"/>
    <w:rsid w:val="1A1F16AE"/>
    <w:rsid w:val="1A3B5C77"/>
    <w:rsid w:val="1A6562F0"/>
    <w:rsid w:val="1A872550"/>
    <w:rsid w:val="1A984BAD"/>
    <w:rsid w:val="1AB8220E"/>
    <w:rsid w:val="1AD75285"/>
    <w:rsid w:val="1AE4166C"/>
    <w:rsid w:val="1AF06CFB"/>
    <w:rsid w:val="1AF11B8D"/>
    <w:rsid w:val="1B0842E1"/>
    <w:rsid w:val="1B11359C"/>
    <w:rsid w:val="1B18764C"/>
    <w:rsid w:val="1B2A271F"/>
    <w:rsid w:val="1B522B5E"/>
    <w:rsid w:val="1B530544"/>
    <w:rsid w:val="1B713184"/>
    <w:rsid w:val="1B882EE0"/>
    <w:rsid w:val="1B9C027D"/>
    <w:rsid w:val="1BA062F2"/>
    <w:rsid w:val="1BA209CF"/>
    <w:rsid w:val="1BB4777D"/>
    <w:rsid w:val="1BCA303C"/>
    <w:rsid w:val="1BD75AB8"/>
    <w:rsid w:val="1C0459C2"/>
    <w:rsid w:val="1C1B3B4A"/>
    <w:rsid w:val="1C516382"/>
    <w:rsid w:val="1C556DAA"/>
    <w:rsid w:val="1C88086E"/>
    <w:rsid w:val="1CAC6131"/>
    <w:rsid w:val="1CCF6FD7"/>
    <w:rsid w:val="1CD56276"/>
    <w:rsid w:val="1D045CB7"/>
    <w:rsid w:val="1D0C583E"/>
    <w:rsid w:val="1D266CE1"/>
    <w:rsid w:val="1D3963AF"/>
    <w:rsid w:val="1D6A673C"/>
    <w:rsid w:val="1D9247AE"/>
    <w:rsid w:val="1DA33B45"/>
    <w:rsid w:val="1DAA14F9"/>
    <w:rsid w:val="1DB567EC"/>
    <w:rsid w:val="1DC867E7"/>
    <w:rsid w:val="1DDE7065"/>
    <w:rsid w:val="1DE008F5"/>
    <w:rsid w:val="1DF51A98"/>
    <w:rsid w:val="1DFC4AFA"/>
    <w:rsid w:val="1E317121"/>
    <w:rsid w:val="1E3D060F"/>
    <w:rsid w:val="1E3F7D2E"/>
    <w:rsid w:val="1E4134E4"/>
    <w:rsid w:val="1E4C49BC"/>
    <w:rsid w:val="1E5062B3"/>
    <w:rsid w:val="1E523514"/>
    <w:rsid w:val="1E641526"/>
    <w:rsid w:val="1E714A66"/>
    <w:rsid w:val="1E773191"/>
    <w:rsid w:val="1E802593"/>
    <w:rsid w:val="1E9532EC"/>
    <w:rsid w:val="1EA703CC"/>
    <w:rsid w:val="1EB7330C"/>
    <w:rsid w:val="1ED65854"/>
    <w:rsid w:val="1EF83A1C"/>
    <w:rsid w:val="1F0A0FF3"/>
    <w:rsid w:val="1F5771FF"/>
    <w:rsid w:val="1F882FF2"/>
    <w:rsid w:val="1FA26BC5"/>
    <w:rsid w:val="1FB21E1D"/>
    <w:rsid w:val="1FB637C5"/>
    <w:rsid w:val="1FC61D6D"/>
    <w:rsid w:val="1FE868A9"/>
    <w:rsid w:val="1FED748F"/>
    <w:rsid w:val="20034907"/>
    <w:rsid w:val="20173E4B"/>
    <w:rsid w:val="20390790"/>
    <w:rsid w:val="203C6879"/>
    <w:rsid w:val="204C29DE"/>
    <w:rsid w:val="204E48BC"/>
    <w:rsid w:val="208921B3"/>
    <w:rsid w:val="20973DEB"/>
    <w:rsid w:val="209D487B"/>
    <w:rsid w:val="20B147CB"/>
    <w:rsid w:val="20B26522"/>
    <w:rsid w:val="20B44310"/>
    <w:rsid w:val="20CE0ED9"/>
    <w:rsid w:val="211116EB"/>
    <w:rsid w:val="21132D8F"/>
    <w:rsid w:val="21240AF9"/>
    <w:rsid w:val="214E3DC8"/>
    <w:rsid w:val="216022A2"/>
    <w:rsid w:val="216133FC"/>
    <w:rsid w:val="218A3860"/>
    <w:rsid w:val="218F0D9C"/>
    <w:rsid w:val="21D56769"/>
    <w:rsid w:val="21E52EF3"/>
    <w:rsid w:val="21F04E7F"/>
    <w:rsid w:val="21FB5D7B"/>
    <w:rsid w:val="21FC7CC7"/>
    <w:rsid w:val="220B1C3D"/>
    <w:rsid w:val="221D1D20"/>
    <w:rsid w:val="22334A87"/>
    <w:rsid w:val="2283491A"/>
    <w:rsid w:val="228D26CE"/>
    <w:rsid w:val="22B20386"/>
    <w:rsid w:val="22BE6801"/>
    <w:rsid w:val="230841CA"/>
    <w:rsid w:val="23250B58"/>
    <w:rsid w:val="232F19D7"/>
    <w:rsid w:val="233500BF"/>
    <w:rsid w:val="23377FF7"/>
    <w:rsid w:val="2351194D"/>
    <w:rsid w:val="236B425F"/>
    <w:rsid w:val="23836192"/>
    <w:rsid w:val="23901F29"/>
    <w:rsid w:val="23977CA8"/>
    <w:rsid w:val="239C0061"/>
    <w:rsid w:val="23A203FB"/>
    <w:rsid w:val="23B908A4"/>
    <w:rsid w:val="23D4412A"/>
    <w:rsid w:val="23E95BEF"/>
    <w:rsid w:val="23F247D0"/>
    <w:rsid w:val="23FD0064"/>
    <w:rsid w:val="242332EA"/>
    <w:rsid w:val="242E1C8E"/>
    <w:rsid w:val="24354370"/>
    <w:rsid w:val="24376272"/>
    <w:rsid w:val="245375B0"/>
    <w:rsid w:val="24551420"/>
    <w:rsid w:val="24642C0A"/>
    <w:rsid w:val="24650DB2"/>
    <w:rsid w:val="246F6C27"/>
    <w:rsid w:val="2480073C"/>
    <w:rsid w:val="24AA3A0B"/>
    <w:rsid w:val="24B22173"/>
    <w:rsid w:val="24B44889"/>
    <w:rsid w:val="24B95AD9"/>
    <w:rsid w:val="24BE24DA"/>
    <w:rsid w:val="24CF5825"/>
    <w:rsid w:val="24D663E6"/>
    <w:rsid w:val="24D77F2B"/>
    <w:rsid w:val="24EB4489"/>
    <w:rsid w:val="24FB7DC2"/>
    <w:rsid w:val="25297F3A"/>
    <w:rsid w:val="25386F3A"/>
    <w:rsid w:val="25387269"/>
    <w:rsid w:val="254B2B35"/>
    <w:rsid w:val="25787665"/>
    <w:rsid w:val="2584600A"/>
    <w:rsid w:val="258B00E2"/>
    <w:rsid w:val="25A917A6"/>
    <w:rsid w:val="25B85CB3"/>
    <w:rsid w:val="25BE27CC"/>
    <w:rsid w:val="25CD5C03"/>
    <w:rsid w:val="25DC4098"/>
    <w:rsid w:val="25E940BF"/>
    <w:rsid w:val="25F74A5C"/>
    <w:rsid w:val="2628662C"/>
    <w:rsid w:val="262D45DE"/>
    <w:rsid w:val="2650413E"/>
    <w:rsid w:val="26690F40"/>
    <w:rsid w:val="26797B39"/>
    <w:rsid w:val="269A360B"/>
    <w:rsid w:val="26A53EF9"/>
    <w:rsid w:val="26A94201"/>
    <w:rsid w:val="26AC274F"/>
    <w:rsid w:val="26B73C09"/>
    <w:rsid w:val="26CF5B70"/>
    <w:rsid w:val="27044A29"/>
    <w:rsid w:val="271D34C8"/>
    <w:rsid w:val="27223D2C"/>
    <w:rsid w:val="276142BF"/>
    <w:rsid w:val="27783712"/>
    <w:rsid w:val="278F4B02"/>
    <w:rsid w:val="27907362"/>
    <w:rsid w:val="27D86AE1"/>
    <w:rsid w:val="280E42B1"/>
    <w:rsid w:val="281573ED"/>
    <w:rsid w:val="28237D5C"/>
    <w:rsid w:val="28333E1D"/>
    <w:rsid w:val="28454BD6"/>
    <w:rsid w:val="28455253"/>
    <w:rsid w:val="2849353B"/>
    <w:rsid w:val="28551971"/>
    <w:rsid w:val="285B1C53"/>
    <w:rsid w:val="287120F5"/>
    <w:rsid w:val="2882372E"/>
    <w:rsid w:val="289F7086"/>
    <w:rsid w:val="28AA3FD9"/>
    <w:rsid w:val="28C32028"/>
    <w:rsid w:val="28CC490F"/>
    <w:rsid w:val="28DE40AA"/>
    <w:rsid w:val="29120773"/>
    <w:rsid w:val="29345E77"/>
    <w:rsid w:val="29361D11"/>
    <w:rsid w:val="294C65AD"/>
    <w:rsid w:val="2976077B"/>
    <w:rsid w:val="29806583"/>
    <w:rsid w:val="298B0020"/>
    <w:rsid w:val="298B3C4C"/>
    <w:rsid w:val="299C12A2"/>
    <w:rsid w:val="29F26D24"/>
    <w:rsid w:val="2A01224B"/>
    <w:rsid w:val="2A0E2346"/>
    <w:rsid w:val="2A15033F"/>
    <w:rsid w:val="2A1662C1"/>
    <w:rsid w:val="2A172511"/>
    <w:rsid w:val="2A1C7367"/>
    <w:rsid w:val="2A2815FA"/>
    <w:rsid w:val="2A446189"/>
    <w:rsid w:val="2A4E4E38"/>
    <w:rsid w:val="2A583EB9"/>
    <w:rsid w:val="2A6D6092"/>
    <w:rsid w:val="2A741495"/>
    <w:rsid w:val="2A7D76B4"/>
    <w:rsid w:val="2B147E30"/>
    <w:rsid w:val="2B395AE8"/>
    <w:rsid w:val="2B437463"/>
    <w:rsid w:val="2B5A1BB1"/>
    <w:rsid w:val="2B6C37C8"/>
    <w:rsid w:val="2B746B21"/>
    <w:rsid w:val="2B7807EE"/>
    <w:rsid w:val="2B8251BD"/>
    <w:rsid w:val="2BB313F7"/>
    <w:rsid w:val="2BBF00EC"/>
    <w:rsid w:val="2BC2788C"/>
    <w:rsid w:val="2BC37CFD"/>
    <w:rsid w:val="2BC52ED8"/>
    <w:rsid w:val="2BC81492"/>
    <w:rsid w:val="2BD5237F"/>
    <w:rsid w:val="2BE536CE"/>
    <w:rsid w:val="2BE758D9"/>
    <w:rsid w:val="2BF33EE9"/>
    <w:rsid w:val="2BF437BD"/>
    <w:rsid w:val="2C025EDA"/>
    <w:rsid w:val="2C09049E"/>
    <w:rsid w:val="2C0A653C"/>
    <w:rsid w:val="2C191F85"/>
    <w:rsid w:val="2C336F38"/>
    <w:rsid w:val="2C484235"/>
    <w:rsid w:val="2C66290D"/>
    <w:rsid w:val="2C8B7674"/>
    <w:rsid w:val="2CBF3DCB"/>
    <w:rsid w:val="2CCB09C2"/>
    <w:rsid w:val="2CE455E0"/>
    <w:rsid w:val="2CE82D6F"/>
    <w:rsid w:val="2CED0939"/>
    <w:rsid w:val="2D0068BE"/>
    <w:rsid w:val="2D157E8F"/>
    <w:rsid w:val="2D2F71A3"/>
    <w:rsid w:val="2D343236"/>
    <w:rsid w:val="2DC05AFF"/>
    <w:rsid w:val="2DD15014"/>
    <w:rsid w:val="2DD85145"/>
    <w:rsid w:val="2DF72DE4"/>
    <w:rsid w:val="2E0220AF"/>
    <w:rsid w:val="2E0E0B66"/>
    <w:rsid w:val="2E4B082A"/>
    <w:rsid w:val="2E552C39"/>
    <w:rsid w:val="2E5B32CF"/>
    <w:rsid w:val="2E5D4E86"/>
    <w:rsid w:val="2E5D790B"/>
    <w:rsid w:val="2E894691"/>
    <w:rsid w:val="2E9A3C18"/>
    <w:rsid w:val="2EBB0FEE"/>
    <w:rsid w:val="2EC63002"/>
    <w:rsid w:val="2ED37F04"/>
    <w:rsid w:val="2EF610D7"/>
    <w:rsid w:val="2EF7784D"/>
    <w:rsid w:val="2EFE0BDB"/>
    <w:rsid w:val="2F0A6B38"/>
    <w:rsid w:val="2F46319A"/>
    <w:rsid w:val="2F4B4E90"/>
    <w:rsid w:val="2F7D2448"/>
    <w:rsid w:val="2F927575"/>
    <w:rsid w:val="2F946CCB"/>
    <w:rsid w:val="2FA15A0A"/>
    <w:rsid w:val="2FD25781"/>
    <w:rsid w:val="2FDE4398"/>
    <w:rsid w:val="2FEE50F3"/>
    <w:rsid w:val="2FFD7934"/>
    <w:rsid w:val="30136908"/>
    <w:rsid w:val="30161F54"/>
    <w:rsid w:val="30733ACD"/>
    <w:rsid w:val="30765682"/>
    <w:rsid w:val="308570DA"/>
    <w:rsid w:val="308C3862"/>
    <w:rsid w:val="309379D8"/>
    <w:rsid w:val="30A270F7"/>
    <w:rsid w:val="30DF1478"/>
    <w:rsid w:val="30EC586F"/>
    <w:rsid w:val="30EF2388"/>
    <w:rsid w:val="30FB4392"/>
    <w:rsid w:val="30FF50DE"/>
    <w:rsid w:val="3152520E"/>
    <w:rsid w:val="31796C3F"/>
    <w:rsid w:val="317E6003"/>
    <w:rsid w:val="319C6071"/>
    <w:rsid w:val="31AC537E"/>
    <w:rsid w:val="31E3679B"/>
    <w:rsid w:val="31E732FD"/>
    <w:rsid w:val="31FD161E"/>
    <w:rsid w:val="32052280"/>
    <w:rsid w:val="32053B45"/>
    <w:rsid w:val="32517576"/>
    <w:rsid w:val="32A55811"/>
    <w:rsid w:val="32BE5C2C"/>
    <w:rsid w:val="32CD6692"/>
    <w:rsid w:val="32DF49F1"/>
    <w:rsid w:val="32FB6478"/>
    <w:rsid w:val="3321100A"/>
    <w:rsid w:val="33233306"/>
    <w:rsid w:val="33263B3F"/>
    <w:rsid w:val="33576B0C"/>
    <w:rsid w:val="336963EB"/>
    <w:rsid w:val="33816EEB"/>
    <w:rsid w:val="33BB353F"/>
    <w:rsid w:val="33D44600"/>
    <w:rsid w:val="33E74334"/>
    <w:rsid w:val="33EB55CD"/>
    <w:rsid w:val="33EC4C02"/>
    <w:rsid w:val="340D2360"/>
    <w:rsid w:val="3410665D"/>
    <w:rsid w:val="34211214"/>
    <w:rsid w:val="34290102"/>
    <w:rsid w:val="342E63AB"/>
    <w:rsid w:val="34390907"/>
    <w:rsid w:val="34555FF6"/>
    <w:rsid w:val="348222AE"/>
    <w:rsid w:val="34950E68"/>
    <w:rsid w:val="34986E94"/>
    <w:rsid w:val="34AA710F"/>
    <w:rsid w:val="34AF62C9"/>
    <w:rsid w:val="34C851F1"/>
    <w:rsid w:val="34CB4388"/>
    <w:rsid w:val="34FA6E12"/>
    <w:rsid w:val="351D5A95"/>
    <w:rsid w:val="35223149"/>
    <w:rsid w:val="355E0625"/>
    <w:rsid w:val="357E0CC8"/>
    <w:rsid w:val="35847960"/>
    <w:rsid w:val="358D5588"/>
    <w:rsid w:val="35AC6578"/>
    <w:rsid w:val="35BC359E"/>
    <w:rsid w:val="35CF507F"/>
    <w:rsid w:val="35FA5E74"/>
    <w:rsid w:val="35FC7A86"/>
    <w:rsid w:val="360A3E4F"/>
    <w:rsid w:val="36112950"/>
    <w:rsid w:val="363867EE"/>
    <w:rsid w:val="363A3B40"/>
    <w:rsid w:val="364340DF"/>
    <w:rsid w:val="365302AE"/>
    <w:rsid w:val="36607A0A"/>
    <w:rsid w:val="366E227C"/>
    <w:rsid w:val="366F2E0D"/>
    <w:rsid w:val="367B6A5C"/>
    <w:rsid w:val="367E6AA5"/>
    <w:rsid w:val="368A369C"/>
    <w:rsid w:val="36914A2B"/>
    <w:rsid w:val="36941E25"/>
    <w:rsid w:val="369B693B"/>
    <w:rsid w:val="36A52284"/>
    <w:rsid w:val="36A74ADA"/>
    <w:rsid w:val="36AD60D5"/>
    <w:rsid w:val="36AF1DCF"/>
    <w:rsid w:val="36B224F9"/>
    <w:rsid w:val="36CE17DB"/>
    <w:rsid w:val="36CE3589"/>
    <w:rsid w:val="36EC0CC9"/>
    <w:rsid w:val="373F410B"/>
    <w:rsid w:val="37865C12"/>
    <w:rsid w:val="37BF1123"/>
    <w:rsid w:val="37D3697D"/>
    <w:rsid w:val="37EE7094"/>
    <w:rsid w:val="37F54B45"/>
    <w:rsid w:val="37FB65FF"/>
    <w:rsid w:val="380134EA"/>
    <w:rsid w:val="380C6BC4"/>
    <w:rsid w:val="38296C89"/>
    <w:rsid w:val="383002EB"/>
    <w:rsid w:val="383218F5"/>
    <w:rsid w:val="38586797"/>
    <w:rsid w:val="388A34DF"/>
    <w:rsid w:val="389B56ED"/>
    <w:rsid w:val="38AF1198"/>
    <w:rsid w:val="38BC0149"/>
    <w:rsid w:val="38D87D1C"/>
    <w:rsid w:val="38DF08F3"/>
    <w:rsid w:val="38E250CA"/>
    <w:rsid w:val="38F1355F"/>
    <w:rsid w:val="390414E4"/>
    <w:rsid w:val="3914549F"/>
    <w:rsid w:val="391D07F7"/>
    <w:rsid w:val="39513FFD"/>
    <w:rsid w:val="39636459"/>
    <w:rsid w:val="39657AA9"/>
    <w:rsid w:val="396B7F6C"/>
    <w:rsid w:val="399931A4"/>
    <w:rsid w:val="39B051C8"/>
    <w:rsid w:val="39B417A9"/>
    <w:rsid w:val="39C3314D"/>
    <w:rsid w:val="39DD14FA"/>
    <w:rsid w:val="39FC5695"/>
    <w:rsid w:val="39FF7EFD"/>
    <w:rsid w:val="3A006D8E"/>
    <w:rsid w:val="3A3651E5"/>
    <w:rsid w:val="3A4B4EF0"/>
    <w:rsid w:val="3A661D2A"/>
    <w:rsid w:val="3A744481"/>
    <w:rsid w:val="3A8C7BEF"/>
    <w:rsid w:val="3A906246"/>
    <w:rsid w:val="3A9471DC"/>
    <w:rsid w:val="3AB900AC"/>
    <w:rsid w:val="3AE35129"/>
    <w:rsid w:val="3AFB6916"/>
    <w:rsid w:val="3B091033"/>
    <w:rsid w:val="3B0C28D2"/>
    <w:rsid w:val="3B2349B7"/>
    <w:rsid w:val="3B616CFF"/>
    <w:rsid w:val="3B6259F6"/>
    <w:rsid w:val="3B673668"/>
    <w:rsid w:val="3B6B584A"/>
    <w:rsid w:val="3B8D4537"/>
    <w:rsid w:val="3B976654"/>
    <w:rsid w:val="3BA945C4"/>
    <w:rsid w:val="3BAC7C11"/>
    <w:rsid w:val="3BB0325D"/>
    <w:rsid w:val="3BB05953"/>
    <w:rsid w:val="3BC01EFC"/>
    <w:rsid w:val="3BCA786A"/>
    <w:rsid w:val="3BD31E2F"/>
    <w:rsid w:val="3BF15831"/>
    <w:rsid w:val="3C105946"/>
    <w:rsid w:val="3C1D466B"/>
    <w:rsid w:val="3C290CAE"/>
    <w:rsid w:val="3C471448"/>
    <w:rsid w:val="3C483E0D"/>
    <w:rsid w:val="3C5F759A"/>
    <w:rsid w:val="3C601127"/>
    <w:rsid w:val="3C6C525A"/>
    <w:rsid w:val="3CC05722"/>
    <w:rsid w:val="3CCE23CB"/>
    <w:rsid w:val="3CD17D17"/>
    <w:rsid w:val="3CE955AC"/>
    <w:rsid w:val="3CF36D8F"/>
    <w:rsid w:val="3CFB49AC"/>
    <w:rsid w:val="3D1E257B"/>
    <w:rsid w:val="3D3C7F39"/>
    <w:rsid w:val="3D404AB5"/>
    <w:rsid w:val="3D440F09"/>
    <w:rsid w:val="3D4504A0"/>
    <w:rsid w:val="3D8734BB"/>
    <w:rsid w:val="3D8C47B0"/>
    <w:rsid w:val="3D9A11D4"/>
    <w:rsid w:val="3DA16D89"/>
    <w:rsid w:val="3DA364BE"/>
    <w:rsid w:val="3DD84CED"/>
    <w:rsid w:val="3DDF42CD"/>
    <w:rsid w:val="3DE041CB"/>
    <w:rsid w:val="3DE9514C"/>
    <w:rsid w:val="3DFA3C43"/>
    <w:rsid w:val="3E0D48F6"/>
    <w:rsid w:val="3E164C1F"/>
    <w:rsid w:val="3E1868B4"/>
    <w:rsid w:val="3E23240C"/>
    <w:rsid w:val="3E377251"/>
    <w:rsid w:val="3E3D0FF4"/>
    <w:rsid w:val="3E42664B"/>
    <w:rsid w:val="3E5A7334"/>
    <w:rsid w:val="3E602588"/>
    <w:rsid w:val="3E7B5D6B"/>
    <w:rsid w:val="3E843E66"/>
    <w:rsid w:val="3E8A0FA4"/>
    <w:rsid w:val="3E8F51FE"/>
    <w:rsid w:val="3E926F87"/>
    <w:rsid w:val="3E9A59DE"/>
    <w:rsid w:val="3EAF4836"/>
    <w:rsid w:val="3EC33DFA"/>
    <w:rsid w:val="3F00274D"/>
    <w:rsid w:val="3F060E16"/>
    <w:rsid w:val="3F1D1096"/>
    <w:rsid w:val="3F2F0234"/>
    <w:rsid w:val="3F3D74FE"/>
    <w:rsid w:val="3F6363FE"/>
    <w:rsid w:val="3F6C1B91"/>
    <w:rsid w:val="3F6F1681"/>
    <w:rsid w:val="3F756B8F"/>
    <w:rsid w:val="3F7722E4"/>
    <w:rsid w:val="3F7E235D"/>
    <w:rsid w:val="3F95482B"/>
    <w:rsid w:val="3F9B4224"/>
    <w:rsid w:val="3FA23805"/>
    <w:rsid w:val="3FBB3AC4"/>
    <w:rsid w:val="3FCA68B7"/>
    <w:rsid w:val="3FD356A2"/>
    <w:rsid w:val="3FE47979"/>
    <w:rsid w:val="3FE85C73"/>
    <w:rsid w:val="3FF60A0E"/>
    <w:rsid w:val="3FFA53EF"/>
    <w:rsid w:val="3FFF47B3"/>
    <w:rsid w:val="400E3EEE"/>
    <w:rsid w:val="4019356B"/>
    <w:rsid w:val="402F7891"/>
    <w:rsid w:val="40592157"/>
    <w:rsid w:val="406E1CAE"/>
    <w:rsid w:val="40A0133A"/>
    <w:rsid w:val="40A059FA"/>
    <w:rsid w:val="40A745F0"/>
    <w:rsid w:val="40C31A53"/>
    <w:rsid w:val="40C41559"/>
    <w:rsid w:val="40CB7F22"/>
    <w:rsid w:val="40FF545D"/>
    <w:rsid w:val="410067C8"/>
    <w:rsid w:val="41083B3B"/>
    <w:rsid w:val="41120516"/>
    <w:rsid w:val="41263FC1"/>
    <w:rsid w:val="41287D39"/>
    <w:rsid w:val="41395AA3"/>
    <w:rsid w:val="4151405B"/>
    <w:rsid w:val="415A4AB8"/>
    <w:rsid w:val="41855FD7"/>
    <w:rsid w:val="418F0D2A"/>
    <w:rsid w:val="41D01505"/>
    <w:rsid w:val="41D1217F"/>
    <w:rsid w:val="41DD28D2"/>
    <w:rsid w:val="423C1CEE"/>
    <w:rsid w:val="42474939"/>
    <w:rsid w:val="424C3C57"/>
    <w:rsid w:val="42613FF3"/>
    <w:rsid w:val="42660D96"/>
    <w:rsid w:val="428667D2"/>
    <w:rsid w:val="42CD1CE0"/>
    <w:rsid w:val="42E1381E"/>
    <w:rsid w:val="42ED6459"/>
    <w:rsid w:val="42FE58DD"/>
    <w:rsid w:val="431247FD"/>
    <w:rsid w:val="43174B3D"/>
    <w:rsid w:val="434B790E"/>
    <w:rsid w:val="4360274F"/>
    <w:rsid w:val="43617533"/>
    <w:rsid w:val="436A288B"/>
    <w:rsid w:val="43977AB6"/>
    <w:rsid w:val="43A3342B"/>
    <w:rsid w:val="43C006FD"/>
    <w:rsid w:val="43C77C27"/>
    <w:rsid w:val="43D30430"/>
    <w:rsid w:val="43DE09EE"/>
    <w:rsid w:val="43DE2931"/>
    <w:rsid w:val="44002FAD"/>
    <w:rsid w:val="441668C0"/>
    <w:rsid w:val="441D4154"/>
    <w:rsid w:val="4420185A"/>
    <w:rsid w:val="44550E45"/>
    <w:rsid w:val="44557097"/>
    <w:rsid w:val="445A52AB"/>
    <w:rsid w:val="446430D6"/>
    <w:rsid w:val="44705C7F"/>
    <w:rsid w:val="447E484C"/>
    <w:rsid w:val="449101DD"/>
    <w:rsid w:val="44BA6EFA"/>
    <w:rsid w:val="44DE1391"/>
    <w:rsid w:val="44E64193"/>
    <w:rsid w:val="45126D36"/>
    <w:rsid w:val="451B225C"/>
    <w:rsid w:val="452410C9"/>
    <w:rsid w:val="45285D6D"/>
    <w:rsid w:val="45317DFB"/>
    <w:rsid w:val="45401AF6"/>
    <w:rsid w:val="456D3CE4"/>
    <w:rsid w:val="4579042C"/>
    <w:rsid w:val="457F0571"/>
    <w:rsid w:val="45851176"/>
    <w:rsid w:val="458A0FC3"/>
    <w:rsid w:val="45927E77"/>
    <w:rsid w:val="45966FDA"/>
    <w:rsid w:val="45B77250"/>
    <w:rsid w:val="45C63B94"/>
    <w:rsid w:val="45C66304"/>
    <w:rsid w:val="460E7DA5"/>
    <w:rsid w:val="46236D21"/>
    <w:rsid w:val="46364CA7"/>
    <w:rsid w:val="46422483"/>
    <w:rsid w:val="4659254A"/>
    <w:rsid w:val="465B0637"/>
    <w:rsid w:val="465E3F0D"/>
    <w:rsid w:val="466A16E6"/>
    <w:rsid w:val="46893F2B"/>
    <w:rsid w:val="46AD665C"/>
    <w:rsid w:val="46C4686E"/>
    <w:rsid w:val="46D63D94"/>
    <w:rsid w:val="46F030A7"/>
    <w:rsid w:val="47170634"/>
    <w:rsid w:val="473016F6"/>
    <w:rsid w:val="4743767B"/>
    <w:rsid w:val="475C24EB"/>
    <w:rsid w:val="477B778F"/>
    <w:rsid w:val="478203EC"/>
    <w:rsid w:val="47A224C5"/>
    <w:rsid w:val="47B025FA"/>
    <w:rsid w:val="47B73BC5"/>
    <w:rsid w:val="47C47399"/>
    <w:rsid w:val="4809698F"/>
    <w:rsid w:val="4811697D"/>
    <w:rsid w:val="481608EC"/>
    <w:rsid w:val="481C21F7"/>
    <w:rsid w:val="48272AF9"/>
    <w:rsid w:val="48435459"/>
    <w:rsid w:val="4847319B"/>
    <w:rsid w:val="48616869"/>
    <w:rsid w:val="487A3E25"/>
    <w:rsid w:val="487B0BAC"/>
    <w:rsid w:val="488B5503"/>
    <w:rsid w:val="48937E21"/>
    <w:rsid w:val="489A0361"/>
    <w:rsid w:val="48B94FF3"/>
    <w:rsid w:val="48C4659A"/>
    <w:rsid w:val="48C540C0"/>
    <w:rsid w:val="48DD116F"/>
    <w:rsid w:val="48E37AAB"/>
    <w:rsid w:val="48FD4B4C"/>
    <w:rsid w:val="490948F4"/>
    <w:rsid w:val="490A68E0"/>
    <w:rsid w:val="4910358D"/>
    <w:rsid w:val="491055FE"/>
    <w:rsid w:val="49105C83"/>
    <w:rsid w:val="493F0316"/>
    <w:rsid w:val="49504D9D"/>
    <w:rsid w:val="495F5B3E"/>
    <w:rsid w:val="496F77D7"/>
    <w:rsid w:val="497654FD"/>
    <w:rsid w:val="498D2E30"/>
    <w:rsid w:val="49A07007"/>
    <w:rsid w:val="49B54CE4"/>
    <w:rsid w:val="49B64211"/>
    <w:rsid w:val="49F6167F"/>
    <w:rsid w:val="49FC181A"/>
    <w:rsid w:val="4A064FA0"/>
    <w:rsid w:val="4A16615C"/>
    <w:rsid w:val="4A183041"/>
    <w:rsid w:val="4A25750C"/>
    <w:rsid w:val="4A2A2D74"/>
    <w:rsid w:val="4A4060F4"/>
    <w:rsid w:val="4A4424D7"/>
    <w:rsid w:val="4A4C6847"/>
    <w:rsid w:val="4A500C81"/>
    <w:rsid w:val="4A835FE1"/>
    <w:rsid w:val="4A930919"/>
    <w:rsid w:val="4AAF6DD6"/>
    <w:rsid w:val="4AB82D0F"/>
    <w:rsid w:val="4ABD4E4D"/>
    <w:rsid w:val="4ACE1952"/>
    <w:rsid w:val="4AD93E52"/>
    <w:rsid w:val="4AEB7664"/>
    <w:rsid w:val="4AFD7C19"/>
    <w:rsid w:val="4B0102B2"/>
    <w:rsid w:val="4B0567D1"/>
    <w:rsid w:val="4B076C12"/>
    <w:rsid w:val="4B10778F"/>
    <w:rsid w:val="4B236AAE"/>
    <w:rsid w:val="4B2612A9"/>
    <w:rsid w:val="4B616322"/>
    <w:rsid w:val="4B707271"/>
    <w:rsid w:val="4B773D97"/>
    <w:rsid w:val="4B8A1BAE"/>
    <w:rsid w:val="4B9739F7"/>
    <w:rsid w:val="4BB5666E"/>
    <w:rsid w:val="4BB776E6"/>
    <w:rsid w:val="4BD56D10"/>
    <w:rsid w:val="4BED5E07"/>
    <w:rsid w:val="4BEE2503"/>
    <w:rsid w:val="4BF076A6"/>
    <w:rsid w:val="4C1C66ED"/>
    <w:rsid w:val="4C245A30"/>
    <w:rsid w:val="4C2613CF"/>
    <w:rsid w:val="4C2C2DD4"/>
    <w:rsid w:val="4C681932"/>
    <w:rsid w:val="4C72630D"/>
    <w:rsid w:val="4C9F2D58"/>
    <w:rsid w:val="4CB6685F"/>
    <w:rsid w:val="4CB701C3"/>
    <w:rsid w:val="4CC367FE"/>
    <w:rsid w:val="4CCC1EC1"/>
    <w:rsid w:val="4CED0CAF"/>
    <w:rsid w:val="4D077F3C"/>
    <w:rsid w:val="4D094EC3"/>
    <w:rsid w:val="4D123355"/>
    <w:rsid w:val="4D1A70D0"/>
    <w:rsid w:val="4D2A3B31"/>
    <w:rsid w:val="4D312C52"/>
    <w:rsid w:val="4D5F0F87"/>
    <w:rsid w:val="4D905305"/>
    <w:rsid w:val="4D964A72"/>
    <w:rsid w:val="4D9C1254"/>
    <w:rsid w:val="4DD17B46"/>
    <w:rsid w:val="4E2A50F1"/>
    <w:rsid w:val="4E30022D"/>
    <w:rsid w:val="4E575930"/>
    <w:rsid w:val="4E704ACE"/>
    <w:rsid w:val="4E793892"/>
    <w:rsid w:val="4E800872"/>
    <w:rsid w:val="4E834801"/>
    <w:rsid w:val="4E915170"/>
    <w:rsid w:val="4EB726FD"/>
    <w:rsid w:val="4EC569ED"/>
    <w:rsid w:val="4ECB0422"/>
    <w:rsid w:val="4ED35788"/>
    <w:rsid w:val="4ED50EA1"/>
    <w:rsid w:val="4EE71234"/>
    <w:rsid w:val="4EEC050C"/>
    <w:rsid w:val="4EF23735"/>
    <w:rsid w:val="4F104EC3"/>
    <w:rsid w:val="4F3F41D1"/>
    <w:rsid w:val="4F47354A"/>
    <w:rsid w:val="4F756840"/>
    <w:rsid w:val="4F8E5B53"/>
    <w:rsid w:val="4F911C54"/>
    <w:rsid w:val="4FCE7CFE"/>
    <w:rsid w:val="4FE625E0"/>
    <w:rsid w:val="5021480F"/>
    <w:rsid w:val="50281B04"/>
    <w:rsid w:val="504A6AF2"/>
    <w:rsid w:val="50504BB7"/>
    <w:rsid w:val="50633C92"/>
    <w:rsid w:val="506B19F1"/>
    <w:rsid w:val="50834F8C"/>
    <w:rsid w:val="50962ECB"/>
    <w:rsid w:val="50A42E38"/>
    <w:rsid w:val="50A4577F"/>
    <w:rsid w:val="50B73D1F"/>
    <w:rsid w:val="50B909AE"/>
    <w:rsid w:val="50BD5BC9"/>
    <w:rsid w:val="50C11EEE"/>
    <w:rsid w:val="50E97CFC"/>
    <w:rsid w:val="50FA4028"/>
    <w:rsid w:val="510D65B7"/>
    <w:rsid w:val="511157AB"/>
    <w:rsid w:val="511A58F1"/>
    <w:rsid w:val="512E314A"/>
    <w:rsid w:val="5142540C"/>
    <w:rsid w:val="51644DBE"/>
    <w:rsid w:val="516C1805"/>
    <w:rsid w:val="518832C8"/>
    <w:rsid w:val="519F328D"/>
    <w:rsid w:val="51A0432A"/>
    <w:rsid w:val="51A57EC9"/>
    <w:rsid w:val="51A86090"/>
    <w:rsid w:val="51AB6549"/>
    <w:rsid w:val="51AE7DE7"/>
    <w:rsid w:val="51B7396D"/>
    <w:rsid w:val="51CB6BEB"/>
    <w:rsid w:val="51E101BC"/>
    <w:rsid w:val="521A547C"/>
    <w:rsid w:val="522E4CC3"/>
    <w:rsid w:val="5244713B"/>
    <w:rsid w:val="525A5626"/>
    <w:rsid w:val="52615633"/>
    <w:rsid w:val="52884ADC"/>
    <w:rsid w:val="52977FD4"/>
    <w:rsid w:val="52A15B9E"/>
    <w:rsid w:val="52A25790"/>
    <w:rsid w:val="52A96B6F"/>
    <w:rsid w:val="52B45975"/>
    <w:rsid w:val="52D94AA4"/>
    <w:rsid w:val="52E71BCD"/>
    <w:rsid w:val="52EA3A62"/>
    <w:rsid w:val="52F21F55"/>
    <w:rsid w:val="52F50BB8"/>
    <w:rsid w:val="53097272"/>
    <w:rsid w:val="531719BC"/>
    <w:rsid w:val="532A7941"/>
    <w:rsid w:val="53544462"/>
    <w:rsid w:val="535A6478"/>
    <w:rsid w:val="5373753A"/>
    <w:rsid w:val="5386726D"/>
    <w:rsid w:val="5397158E"/>
    <w:rsid w:val="53AA2830"/>
    <w:rsid w:val="53E43ECF"/>
    <w:rsid w:val="54013861"/>
    <w:rsid w:val="540553B7"/>
    <w:rsid w:val="541C42E6"/>
    <w:rsid w:val="544113E6"/>
    <w:rsid w:val="54487265"/>
    <w:rsid w:val="544D6070"/>
    <w:rsid w:val="545253A1"/>
    <w:rsid w:val="54605E1E"/>
    <w:rsid w:val="5464607D"/>
    <w:rsid w:val="546E385E"/>
    <w:rsid w:val="547075D6"/>
    <w:rsid w:val="547E637C"/>
    <w:rsid w:val="54B3506A"/>
    <w:rsid w:val="54CA0D16"/>
    <w:rsid w:val="54DD4057"/>
    <w:rsid w:val="54E7490F"/>
    <w:rsid w:val="54EB4EAE"/>
    <w:rsid w:val="54EF0E42"/>
    <w:rsid w:val="550764A4"/>
    <w:rsid w:val="550B2BF6"/>
    <w:rsid w:val="550D3076"/>
    <w:rsid w:val="55180399"/>
    <w:rsid w:val="55214EB5"/>
    <w:rsid w:val="55364EFD"/>
    <w:rsid w:val="553E1482"/>
    <w:rsid w:val="553F4466"/>
    <w:rsid w:val="554747DA"/>
    <w:rsid w:val="555C6F31"/>
    <w:rsid w:val="555D4828"/>
    <w:rsid w:val="557A4C8B"/>
    <w:rsid w:val="558876EA"/>
    <w:rsid w:val="558931E1"/>
    <w:rsid w:val="55923347"/>
    <w:rsid w:val="55925180"/>
    <w:rsid w:val="55943798"/>
    <w:rsid w:val="559519EA"/>
    <w:rsid w:val="55983B1B"/>
    <w:rsid w:val="55A7171D"/>
    <w:rsid w:val="55A8376B"/>
    <w:rsid w:val="55DC29B6"/>
    <w:rsid w:val="55DD4241"/>
    <w:rsid w:val="561D553B"/>
    <w:rsid w:val="56206DD9"/>
    <w:rsid w:val="563A60ED"/>
    <w:rsid w:val="56446F6C"/>
    <w:rsid w:val="565947FF"/>
    <w:rsid w:val="566B6D1E"/>
    <w:rsid w:val="56794E67"/>
    <w:rsid w:val="56C60C9B"/>
    <w:rsid w:val="56DE2F1C"/>
    <w:rsid w:val="56F20776"/>
    <w:rsid w:val="56FC4EE9"/>
    <w:rsid w:val="57032A2C"/>
    <w:rsid w:val="570F5219"/>
    <w:rsid w:val="571B5F1F"/>
    <w:rsid w:val="574D3BFE"/>
    <w:rsid w:val="575D12B5"/>
    <w:rsid w:val="57610A87"/>
    <w:rsid w:val="577B1140"/>
    <w:rsid w:val="577B7F21"/>
    <w:rsid w:val="577F181B"/>
    <w:rsid w:val="57921984"/>
    <w:rsid w:val="579737F0"/>
    <w:rsid w:val="57AB7B30"/>
    <w:rsid w:val="57AF5251"/>
    <w:rsid w:val="57B26373"/>
    <w:rsid w:val="57B63F04"/>
    <w:rsid w:val="57C245EC"/>
    <w:rsid w:val="57CD20C2"/>
    <w:rsid w:val="57D675AB"/>
    <w:rsid w:val="57D95FDD"/>
    <w:rsid w:val="57F56770"/>
    <w:rsid w:val="5814471C"/>
    <w:rsid w:val="5827444F"/>
    <w:rsid w:val="58304C11"/>
    <w:rsid w:val="58733B38"/>
    <w:rsid w:val="587F072F"/>
    <w:rsid w:val="58917D2F"/>
    <w:rsid w:val="5894085C"/>
    <w:rsid w:val="589A2E73"/>
    <w:rsid w:val="58AE4F0C"/>
    <w:rsid w:val="58B85899"/>
    <w:rsid w:val="58BE1257"/>
    <w:rsid w:val="58C425E6"/>
    <w:rsid w:val="58E363A9"/>
    <w:rsid w:val="58F76517"/>
    <w:rsid w:val="595E1678"/>
    <w:rsid w:val="596D5BD4"/>
    <w:rsid w:val="597E3DD8"/>
    <w:rsid w:val="59AC5554"/>
    <w:rsid w:val="59D979CB"/>
    <w:rsid w:val="59F80043"/>
    <w:rsid w:val="5A09252F"/>
    <w:rsid w:val="5A0B2778"/>
    <w:rsid w:val="5A2A7C7B"/>
    <w:rsid w:val="5A3E2560"/>
    <w:rsid w:val="5A5D3B6E"/>
    <w:rsid w:val="5A637A76"/>
    <w:rsid w:val="5A6D33BA"/>
    <w:rsid w:val="5A792B1F"/>
    <w:rsid w:val="5A8474FB"/>
    <w:rsid w:val="5A874767"/>
    <w:rsid w:val="5AAD6F28"/>
    <w:rsid w:val="5AB864BE"/>
    <w:rsid w:val="5AC1217E"/>
    <w:rsid w:val="5AD63A24"/>
    <w:rsid w:val="5AED119A"/>
    <w:rsid w:val="5B04316E"/>
    <w:rsid w:val="5B136F0D"/>
    <w:rsid w:val="5B264C35"/>
    <w:rsid w:val="5B2E1A1D"/>
    <w:rsid w:val="5B353327"/>
    <w:rsid w:val="5B843A1C"/>
    <w:rsid w:val="5B873E3F"/>
    <w:rsid w:val="5B9238C5"/>
    <w:rsid w:val="5BBD55B7"/>
    <w:rsid w:val="5BC5073A"/>
    <w:rsid w:val="5BD668B8"/>
    <w:rsid w:val="5C02690E"/>
    <w:rsid w:val="5C1271C4"/>
    <w:rsid w:val="5C196DA7"/>
    <w:rsid w:val="5C1F025F"/>
    <w:rsid w:val="5C2A048C"/>
    <w:rsid w:val="5C80234E"/>
    <w:rsid w:val="5C8A680C"/>
    <w:rsid w:val="5C8F7233"/>
    <w:rsid w:val="5C9347A9"/>
    <w:rsid w:val="5CF54B1C"/>
    <w:rsid w:val="5D0C00B7"/>
    <w:rsid w:val="5D0C4701"/>
    <w:rsid w:val="5D0F0395"/>
    <w:rsid w:val="5D221076"/>
    <w:rsid w:val="5D3715D8"/>
    <w:rsid w:val="5D397964"/>
    <w:rsid w:val="5D5A391C"/>
    <w:rsid w:val="5D5F10C0"/>
    <w:rsid w:val="5D7F6ADB"/>
    <w:rsid w:val="5D891B7B"/>
    <w:rsid w:val="5DAD38EE"/>
    <w:rsid w:val="5DBE55C4"/>
    <w:rsid w:val="5DE17F75"/>
    <w:rsid w:val="5DEB0036"/>
    <w:rsid w:val="5E005E6E"/>
    <w:rsid w:val="5E006862"/>
    <w:rsid w:val="5E0207B9"/>
    <w:rsid w:val="5E0B036F"/>
    <w:rsid w:val="5E1834A1"/>
    <w:rsid w:val="5E261785"/>
    <w:rsid w:val="5E285081"/>
    <w:rsid w:val="5E4A7017"/>
    <w:rsid w:val="5E552BBA"/>
    <w:rsid w:val="5E611C10"/>
    <w:rsid w:val="5E7303EE"/>
    <w:rsid w:val="5E7D74BF"/>
    <w:rsid w:val="5E877E97"/>
    <w:rsid w:val="5E8C7702"/>
    <w:rsid w:val="5ED35331"/>
    <w:rsid w:val="5ED510A9"/>
    <w:rsid w:val="5EFA466C"/>
    <w:rsid w:val="5EFC7377"/>
    <w:rsid w:val="5F025C16"/>
    <w:rsid w:val="5F06174D"/>
    <w:rsid w:val="5F115EFB"/>
    <w:rsid w:val="5F1D65AC"/>
    <w:rsid w:val="5F3A3602"/>
    <w:rsid w:val="5F5A335C"/>
    <w:rsid w:val="5F6277C6"/>
    <w:rsid w:val="5F661D01"/>
    <w:rsid w:val="5F6D0B1D"/>
    <w:rsid w:val="5F776541"/>
    <w:rsid w:val="5F7E529D"/>
    <w:rsid w:val="5F896013"/>
    <w:rsid w:val="5F8D0B82"/>
    <w:rsid w:val="5FA6034F"/>
    <w:rsid w:val="5FCC5339"/>
    <w:rsid w:val="5FE34A5B"/>
    <w:rsid w:val="5FE5356E"/>
    <w:rsid w:val="5FE84E0C"/>
    <w:rsid w:val="5FFE1E36"/>
    <w:rsid w:val="60232584"/>
    <w:rsid w:val="607330CE"/>
    <w:rsid w:val="60825176"/>
    <w:rsid w:val="609F2AC4"/>
    <w:rsid w:val="60C05441"/>
    <w:rsid w:val="60FA2EE8"/>
    <w:rsid w:val="61054A27"/>
    <w:rsid w:val="610A52BC"/>
    <w:rsid w:val="611D2366"/>
    <w:rsid w:val="61291238"/>
    <w:rsid w:val="61421856"/>
    <w:rsid w:val="61447E20"/>
    <w:rsid w:val="615227C4"/>
    <w:rsid w:val="61573E65"/>
    <w:rsid w:val="61654E3F"/>
    <w:rsid w:val="61693D2A"/>
    <w:rsid w:val="617F70AA"/>
    <w:rsid w:val="6182292A"/>
    <w:rsid w:val="61952334"/>
    <w:rsid w:val="619F7F92"/>
    <w:rsid w:val="61B52ACC"/>
    <w:rsid w:val="61E67129"/>
    <w:rsid w:val="61EA266E"/>
    <w:rsid w:val="61F94C26"/>
    <w:rsid w:val="62000E56"/>
    <w:rsid w:val="621974FF"/>
    <w:rsid w:val="621C2B4B"/>
    <w:rsid w:val="624F3E49"/>
    <w:rsid w:val="62632286"/>
    <w:rsid w:val="62885958"/>
    <w:rsid w:val="629D0130"/>
    <w:rsid w:val="62AC0373"/>
    <w:rsid w:val="62BE3C02"/>
    <w:rsid w:val="62F40B65"/>
    <w:rsid w:val="62FC2CFE"/>
    <w:rsid w:val="62FE3EF7"/>
    <w:rsid w:val="63024505"/>
    <w:rsid w:val="6310308E"/>
    <w:rsid w:val="631D4DCC"/>
    <w:rsid w:val="63304B00"/>
    <w:rsid w:val="63585E05"/>
    <w:rsid w:val="635B1DB5"/>
    <w:rsid w:val="63711FED"/>
    <w:rsid w:val="63880DDC"/>
    <w:rsid w:val="638D750D"/>
    <w:rsid w:val="63A1155A"/>
    <w:rsid w:val="63A66B70"/>
    <w:rsid w:val="63AC6CC0"/>
    <w:rsid w:val="63CA01D3"/>
    <w:rsid w:val="63D74F7B"/>
    <w:rsid w:val="63DC07E4"/>
    <w:rsid w:val="64055776"/>
    <w:rsid w:val="640A35A3"/>
    <w:rsid w:val="64240056"/>
    <w:rsid w:val="643E143A"/>
    <w:rsid w:val="644545DB"/>
    <w:rsid w:val="648B6EEF"/>
    <w:rsid w:val="64C158BF"/>
    <w:rsid w:val="64CE2EAA"/>
    <w:rsid w:val="64E04304"/>
    <w:rsid w:val="64E831B8"/>
    <w:rsid w:val="653603C7"/>
    <w:rsid w:val="653C3090"/>
    <w:rsid w:val="655C6080"/>
    <w:rsid w:val="65854376"/>
    <w:rsid w:val="658767BE"/>
    <w:rsid w:val="65892531"/>
    <w:rsid w:val="65B03CD6"/>
    <w:rsid w:val="65B67123"/>
    <w:rsid w:val="65BA6903"/>
    <w:rsid w:val="65D13497"/>
    <w:rsid w:val="65F91B21"/>
    <w:rsid w:val="66051C1D"/>
    <w:rsid w:val="660C737F"/>
    <w:rsid w:val="66195831"/>
    <w:rsid w:val="662E75B1"/>
    <w:rsid w:val="66342C2E"/>
    <w:rsid w:val="663E784C"/>
    <w:rsid w:val="66434B4A"/>
    <w:rsid w:val="666B5E4F"/>
    <w:rsid w:val="66763171"/>
    <w:rsid w:val="668B6A45"/>
    <w:rsid w:val="66BA3EC8"/>
    <w:rsid w:val="66E416C6"/>
    <w:rsid w:val="67023999"/>
    <w:rsid w:val="67220C03"/>
    <w:rsid w:val="672F3F24"/>
    <w:rsid w:val="673E055F"/>
    <w:rsid w:val="67551CE3"/>
    <w:rsid w:val="675C1B63"/>
    <w:rsid w:val="67982DDE"/>
    <w:rsid w:val="679F4002"/>
    <w:rsid w:val="67A22552"/>
    <w:rsid w:val="67AB4D16"/>
    <w:rsid w:val="67B22DCC"/>
    <w:rsid w:val="67BE71AA"/>
    <w:rsid w:val="67CA4DF7"/>
    <w:rsid w:val="67CB3049"/>
    <w:rsid w:val="67D90273"/>
    <w:rsid w:val="67DD0FCE"/>
    <w:rsid w:val="67DE5875"/>
    <w:rsid w:val="67E55852"/>
    <w:rsid w:val="67E934CF"/>
    <w:rsid w:val="67EB1AB4"/>
    <w:rsid w:val="67F26828"/>
    <w:rsid w:val="67FA1285"/>
    <w:rsid w:val="68551F4F"/>
    <w:rsid w:val="68727968"/>
    <w:rsid w:val="687C10C9"/>
    <w:rsid w:val="68840C16"/>
    <w:rsid w:val="68876EFB"/>
    <w:rsid w:val="68884654"/>
    <w:rsid w:val="689F444F"/>
    <w:rsid w:val="68AA23EE"/>
    <w:rsid w:val="68B96DBB"/>
    <w:rsid w:val="68C829B1"/>
    <w:rsid w:val="68CA2805"/>
    <w:rsid w:val="68E937A3"/>
    <w:rsid w:val="693E15D3"/>
    <w:rsid w:val="69470DF5"/>
    <w:rsid w:val="694E214C"/>
    <w:rsid w:val="69627681"/>
    <w:rsid w:val="696A6892"/>
    <w:rsid w:val="6977531D"/>
    <w:rsid w:val="697D3D70"/>
    <w:rsid w:val="698C182D"/>
    <w:rsid w:val="69CC2BFF"/>
    <w:rsid w:val="69E14DA6"/>
    <w:rsid w:val="69F745C9"/>
    <w:rsid w:val="69FB5DEE"/>
    <w:rsid w:val="69FD55B8"/>
    <w:rsid w:val="6A0B1C62"/>
    <w:rsid w:val="6A2406C8"/>
    <w:rsid w:val="6A2F68FA"/>
    <w:rsid w:val="6A4444A1"/>
    <w:rsid w:val="6A5135AE"/>
    <w:rsid w:val="6A745C1A"/>
    <w:rsid w:val="6A883473"/>
    <w:rsid w:val="6A9242F2"/>
    <w:rsid w:val="6ADC556D"/>
    <w:rsid w:val="6ADD205C"/>
    <w:rsid w:val="6ADE0BD1"/>
    <w:rsid w:val="6AE96859"/>
    <w:rsid w:val="6B147746"/>
    <w:rsid w:val="6B24787C"/>
    <w:rsid w:val="6B301415"/>
    <w:rsid w:val="6B364C7D"/>
    <w:rsid w:val="6B3709F5"/>
    <w:rsid w:val="6B56531F"/>
    <w:rsid w:val="6B573233"/>
    <w:rsid w:val="6B5B6274"/>
    <w:rsid w:val="6B792DBC"/>
    <w:rsid w:val="6B826114"/>
    <w:rsid w:val="6B935D53"/>
    <w:rsid w:val="6BA75B7B"/>
    <w:rsid w:val="6BD36970"/>
    <w:rsid w:val="6BEC5EDA"/>
    <w:rsid w:val="6BEC7A32"/>
    <w:rsid w:val="6C196F71"/>
    <w:rsid w:val="6C226FCB"/>
    <w:rsid w:val="6C2D102D"/>
    <w:rsid w:val="6C2D31F2"/>
    <w:rsid w:val="6C31226F"/>
    <w:rsid w:val="6C3F4006"/>
    <w:rsid w:val="6C45550B"/>
    <w:rsid w:val="6C552F0B"/>
    <w:rsid w:val="6C6D2921"/>
    <w:rsid w:val="6C871509"/>
    <w:rsid w:val="6C881EFC"/>
    <w:rsid w:val="6C8C67B7"/>
    <w:rsid w:val="6C9D744C"/>
    <w:rsid w:val="6CCA07ED"/>
    <w:rsid w:val="6D167928"/>
    <w:rsid w:val="6D26299B"/>
    <w:rsid w:val="6D2C5C90"/>
    <w:rsid w:val="6D4772EC"/>
    <w:rsid w:val="6D9078AF"/>
    <w:rsid w:val="6DA7244B"/>
    <w:rsid w:val="6DAA3FEF"/>
    <w:rsid w:val="6DC0172B"/>
    <w:rsid w:val="6DC20A4A"/>
    <w:rsid w:val="6DCB690C"/>
    <w:rsid w:val="6DD41A5B"/>
    <w:rsid w:val="6DD54C21"/>
    <w:rsid w:val="6DEF5907"/>
    <w:rsid w:val="6DF42BCE"/>
    <w:rsid w:val="6DF43C2E"/>
    <w:rsid w:val="6DF51CA3"/>
    <w:rsid w:val="6E0A419F"/>
    <w:rsid w:val="6E175BEA"/>
    <w:rsid w:val="6E1A0886"/>
    <w:rsid w:val="6E2214E9"/>
    <w:rsid w:val="6E22598D"/>
    <w:rsid w:val="6E3A4A84"/>
    <w:rsid w:val="6E4434FC"/>
    <w:rsid w:val="6E5B5AA7"/>
    <w:rsid w:val="6E8335BD"/>
    <w:rsid w:val="6E8E12EF"/>
    <w:rsid w:val="6E972936"/>
    <w:rsid w:val="6ED446C5"/>
    <w:rsid w:val="6EE7742F"/>
    <w:rsid w:val="6F215C44"/>
    <w:rsid w:val="6F2A7D94"/>
    <w:rsid w:val="6F771D08"/>
    <w:rsid w:val="6F8331F1"/>
    <w:rsid w:val="6F857F81"/>
    <w:rsid w:val="6F986088"/>
    <w:rsid w:val="6FAE1A09"/>
    <w:rsid w:val="6FB10D76"/>
    <w:rsid w:val="6FD75BF8"/>
    <w:rsid w:val="6FFE7D34"/>
    <w:rsid w:val="70115CB9"/>
    <w:rsid w:val="70192D01"/>
    <w:rsid w:val="702E23C7"/>
    <w:rsid w:val="704E4817"/>
    <w:rsid w:val="707723D0"/>
    <w:rsid w:val="70A04FBC"/>
    <w:rsid w:val="70B328CC"/>
    <w:rsid w:val="70D171F6"/>
    <w:rsid w:val="70E37655"/>
    <w:rsid w:val="70F5661B"/>
    <w:rsid w:val="70FB3CC9"/>
    <w:rsid w:val="71197447"/>
    <w:rsid w:val="71357785"/>
    <w:rsid w:val="71360107"/>
    <w:rsid w:val="713B688E"/>
    <w:rsid w:val="7148395C"/>
    <w:rsid w:val="71542301"/>
    <w:rsid w:val="719B7F30"/>
    <w:rsid w:val="71A40397"/>
    <w:rsid w:val="71C11019"/>
    <w:rsid w:val="71C71E0A"/>
    <w:rsid w:val="71C90A4F"/>
    <w:rsid w:val="71D43752"/>
    <w:rsid w:val="71F1796A"/>
    <w:rsid w:val="72154626"/>
    <w:rsid w:val="7224095F"/>
    <w:rsid w:val="72262B5D"/>
    <w:rsid w:val="72283FF7"/>
    <w:rsid w:val="722E7212"/>
    <w:rsid w:val="723A0474"/>
    <w:rsid w:val="725923E4"/>
    <w:rsid w:val="726A7902"/>
    <w:rsid w:val="72864BF7"/>
    <w:rsid w:val="729023FC"/>
    <w:rsid w:val="72987FCC"/>
    <w:rsid w:val="72A00F3F"/>
    <w:rsid w:val="72D422B3"/>
    <w:rsid w:val="72F01BB6"/>
    <w:rsid w:val="73092C77"/>
    <w:rsid w:val="73131D48"/>
    <w:rsid w:val="733A5527"/>
    <w:rsid w:val="735A34D3"/>
    <w:rsid w:val="73C0646E"/>
    <w:rsid w:val="73CF4676"/>
    <w:rsid w:val="73F40973"/>
    <w:rsid w:val="742222F5"/>
    <w:rsid w:val="74237D69"/>
    <w:rsid w:val="743E4BA3"/>
    <w:rsid w:val="74476126"/>
    <w:rsid w:val="745A5E80"/>
    <w:rsid w:val="74706664"/>
    <w:rsid w:val="7472484C"/>
    <w:rsid w:val="747F3682"/>
    <w:rsid w:val="749C4185"/>
    <w:rsid w:val="75067759"/>
    <w:rsid w:val="751C1388"/>
    <w:rsid w:val="752E6DCD"/>
    <w:rsid w:val="7551380D"/>
    <w:rsid w:val="75524DAA"/>
    <w:rsid w:val="755521A4"/>
    <w:rsid w:val="75600BE5"/>
    <w:rsid w:val="75640639"/>
    <w:rsid w:val="7564475C"/>
    <w:rsid w:val="756920F3"/>
    <w:rsid w:val="757E5B9F"/>
    <w:rsid w:val="7583797F"/>
    <w:rsid w:val="75B74C0D"/>
    <w:rsid w:val="75C537CD"/>
    <w:rsid w:val="75D20F1D"/>
    <w:rsid w:val="75D946F8"/>
    <w:rsid w:val="75DA2C18"/>
    <w:rsid w:val="75F54412"/>
    <w:rsid w:val="7601232C"/>
    <w:rsid w:val="76116A13"/>
    <w:rsid w:val="76191146"/>
    <w:rsid w:val="76191423"/>
    <w:rsid w:val="761D08E0"/>
    <w:rsid w:val="761E2EDE"/>
    <w:rsid w:val="761F2A0C"/>
    <w:rsid w:val="765D347C"/>
    <w:rsid w:val="766A1C7F"/>
    <w:rsid w:val="766C3C49"/>
    <w:rsid w:val="76746FA2"/>
    <w:rsid w:val="76826699"/>
    <w:rsid w:val="769211D6"/>
    <w:rsid w:val="76A35191"/>
    <w:rsid w:val="76A5673E"/>
    <w:rsid w:val="76AA4771"/>
    <w:rsid w:val="76AC2297"/>
    <w:rsid w:val="76C87133"/>
    <w:rsid w:val="76CD08D5"/>
    <w:rsid w:val="76D8308D"/>
    <w:rsid w:val="76DB4B92"/>
    <w:rsid w:val="76ED7735"/>
    <w:rsid w:val="76F51E90"/>
    <w:rsid w:val="77052AA4"/>
    <w:rsid w:val="77136511"/>
    <w:rsid w:val="77340A39"/>
    <w:rsid w:val="77351FD0"/>
    <w:rsid w:val="77366005"/>
    <w:rsid w:val="77387FCF"/>
    <w:rsid w:val="77472422"/>
    <w:rsid w:val="774E1085"/>
    <w:rsid w:val="77514BED"/>
    <w:rsid w:val="777059BB"/>
    <w:rsid w:val="77707769"/>
    <w:rsid w:val="777F31F2"/>
    <w:rsid w:val="77822FF8"/>
    <w:rsid w:val="77AC46E5"/>
    <w:rsid w:val="77D1700D"/>
    <w:rsid w:val="77E15F71"/>
    <w:rsid w:val="77EC04CC"/>
    <w:rsid w:val="780D320A"/>
    <w:rsid w:val="78586984"/>
    <w:rsid w:val="786D5A56"/>
    <w:rsid w:val="78775729"/>
    <w:rsid w:val="788429D3"/>
    <w:rsid w:val="78A42DB0"/>
    <w:rsid w:val="78A656AB"/>
    <w:rsid w:val="78AD22F7"/>
    <w:rsid w:val="78B2245C"/>
    <w:rsid w:val="78E172CC"/>
    <w:rsid w:val="78EA1D1F"/>
    <w:rsid w:val="78EA52F9"/>
    <w:rsid w:val="7904172F"/>
    <w:rsid w:val="790F7E27"/>
    <w:rsid w:val="7927654D"/>
    <w:rsid w:val="792A231A"/>
    <w:rsid w:val="79316829"/>
    <w:rsid w:val="79514C5B"/>
    <w:rsid w:val="79733540"/>
    <w:rsid w:val="79780B57"/>
    <w:rsid w:val="797E66A9"/>
    <w:rsid w:val="798E037A"/>
    <w:rsid w:val="79A97383"/>
    <w:rsid w:val="79BE52CF"/>
    <w:rsid w:val="79CE2C47"/>
    <w:rsid w:val="79E27E8B"/>
    <w:rsid w:val="79F850CE"/>
    <w:rsid w:val="79FD443C"/>
    <w:rsid w:val="7A1D1975"/>
    <w:rsid w:val="7A3E5150"/>
    <w:rsid w:val="7A3F3423"/>
    <w:rsid w:val="7A4670D6"/>
    <w:rsid w:val="7A534B63"/>
    <w:rsid w:val="7A540C7C"/>
    <w:rsid w:val="7A615382"/>
    <w:rsid w:val="7A666C01"/>
    <w:rsid w:val="7A67303B"/>
    <w:rsid w:val="7A9B68AB"/>
    <w:rsid w:val="7AAB1D04"/>
    <w:rsid w:val="7AB23BF5"/>
    <w:rsid w:val="7ABA4368"/>
    <w:rsid w:val="7AD05746"/>
    <w:rsid w:val="7B200C24"/>
    <w:rsid w:val="7B257FFD"/>
    <w:rsid w:val="7B343476"/>
    <w:rsid w:val="7B38234C"/>
    <w:rsid w:val="7B3F192C"/>
    <w:rsid w:val="7B446F42"/>
    <w:rsid w:val="7B4F2C4C"/>
    <w:rsid w:val="7B5573A2"/>
    <w:rsid w:val="7B5A2978"/>
    <w:rsid w:val="7B5A7E4C"/>
    <w:rsid w:val="7B667AF9"/>
    <w:rsid w:val="7B6E3FBF"/>
    <w:rsid w:val="7B7468F8"/>
    <w:rsid w:val="7BEE0103"/>
    <w:rsid w:val="7BF02C26"/>
    <w:rsid w:val="7C0A0FE4"/>
    <w:rsid w:val="7C152060"/>
    <w:rsid w:val="7C254906"/>
    <w:rsid w:val="7C2D5C29"/>
    <w:rsid w:val="7C30396B"/>
    <w:rsid w:val="7C417926"/>
    <w:rsid w:val="7C547E23"/>
    <w:rsid w:val="7C590818"/>
    <w:rsid w:val="7C797290"/>
    <w:rsid w:val="7C7C10F6"/>
    <w:rsid w:val="7C853BEA"/>
    <w:rsid w:val="7C881368"/>
    <w:rsid w:val="7C9A19C4"/>
    <w:rsid w:val="7CB2612E"/>
    <w:rsid w:val="7CC52305"/>
    <w:rsid w:val="7CE27788"/>
    <w:rsid w:val="7CF0718F"/>
    <w:rsid w:val="7CF91FAF"/>
    <w:rsid w:val="7D0C32F1"/>
    <w:rsid w:val="7D0F408D"/>
    <w:rsid w:val="7D1E6F0C"/>
    <w:rsid w:val="7D491C6C"/>
    <w:rsid w:val="7D4C20DE"/>
    <w:rsid w:val="7D5176F5"/>
    <w:rsid w:val="7D5429C0"/>
    <w:rsid w:val="7D6E02A7"/>
    <w:rsid w:val="7D6E6D43"/>
    <w:rsid w:val="7D9F4904"/>
    <w:rsid w:val="7DB57A34"/>
    <w:rsid w:val="7DB87774"/>
    <w:rsid w:val="7DB97741"/>
    <w:rsid w:val="7DD10836"/>
    <w:rsid w:val="7DD722F0"/>
    <w:rsid w:val="7DE60973"/>
    <w:rsid w:val="7DEF0916"/>
    <w:rsid w:val="7E097FCF"/>
    <w:rsid w:val="7E1D3A7B"/>
    <w:rsid w:val="7E1E5218"/>
    <w:rsid w:val="7E615613"/>
    <w:rsid w:val="7E710FB9"/>
    <w:rsid w:val="7E7F0191"/>
    <w:rsid w:val="7E9A4E1F"/>
    <w:rsid w:val="7E9F26E2"/>
    <w:rsid w:val="7EA45C86"/>
    <w:rsid w:val="7EA7723A"/>
    <w:rsid w:val="7ED54355"/>
    <w:rsid w:val="7EF56FBB"/>
    <w:rsid w:val="7F0768EB"/>
    <w:rsid w:val="7F0A04A3"/>
    <w:rsid w:val="7F143BEC"/>
    <w:rsid w:val="7F590AE3"/>
    <w:rsid w:val="7F715AF2"/>
    <w:rsid w:val="7F886E69"/>
    <w:rsid w:val="7F9B10F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92"/>
    <w:autoRedefine/>
    <w:qFormat/>
    <w:uiPriority w:val="0"/>
    <w:rPr>
      <w:sz w:val="18"/>
      <w:szCs w:val="18"/>
    </w:rPr>
  </w:style>
  <w:style w:type="paragraph" w:styleId="16">
    <w:name w:val="toc 8"/>
    <w:basedOn w:val="1"/>
    <w:next w:val="1"/>
    <w:autoRedefine/>
    <w:qFormat/>
    <w:uiPriority w:val="0"/>
    <w:pPr>
      <w:ind w:left="2940" w:leftChars="1400"/>
    </w:pPr>
  </w:style>
  <w:style w:type="paragraph" w:styleId="17">
    <w:name w:val="Normal Indent"/>
    <w:basedOn w:val="1"/>
    <w:next w:val="18"/>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toc 4"/>
    <w:basedOn w:val="1"/>
    <w:next w:val="1"/>
    <w:autoRedefine/>
    <w:qFormat/>
    <w:uiPriority w:val="0"/>
    <w:pPr>
      <w:ind w:left="1260" w:leftChars="600"/>
    </w:pPr>
  </w:style>
  <w:style w:type="paragraph" w:styleId="19">
    <w:name w:val="caption"/>
    <w:basedOn w:val="1"/>
    <w:next w:val="1"/>
    <w:link w:val="232"/>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6"/>
    <w:autoRedefine/>
    <w:qFormat/>
    <w:uiPriority w:val="0"/>
    <w:pPr>
      <w:shd w:val="clear" w:color="auto" w:fill="000080"/>
    </w:pPr>
  </w:style>
  <w:style w:type="paragraph" w:styleId="22">
    <w:name w:val="annotation text"/>
    <w:basedOn w:val="1"/>
    <w:link w:val="345"/>
    <w:autoRedefine/>
    <w:qFormat/>
    <w:uiPriority w:val="99"/>
    <w:pPr>
      <w:jc w:val="left"/>
    </w:pPr>
  </w:style>
  <w:style w:type="paragraph" w:styleId="23">
    <w:name w:val="Salutation"/>
    <w:basedOn w:val="1"/>
    <w:next w:val="1"/>
    <w:link w:val="299"/>
    <w:autoRedefine/>
    <w:qFormat/>
    <w:uiPriority w:val="0"/>
    <w:rPr>
      <w:rFonts w:ascii="仿宋_GB2312" w:eastAsia="仿宋_GB2312"/>
      <w:sz w:val="28"/>
      <w:szCs w:val="20"/>
    </w:rPr>
  </w:style>
  <w:style w:type="paragraph" w:styleId="24">
    <w:name w:val="Body Text 3"/>
    <w:basedOn w:val="1"/>
    <w:link w:val="331"/>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2"/>
    <w:autoRedefine/>
    <w:qFormat/>
    <w:uiPriority w:val="0"/>
    <w:pPr>
      <w:ind w:firstLine="420"/>
    </w:pPr>
    <w:rPr>
      <w:rFonts w:hAnsi="Calibri" w:cs="Times New Roman"/>
      <w:snapToGrid/>
      <w:szCs w:val="20"/>
    </w:rPr>
  </w:style>
  <w:style w:type="paragraph" w:styleId="28">
    <w:name w:val="toc 6"/>
    <w:basedOn w:val="1"/>
    <w:next w:val="1"/>
    <w:autoRedefine/>
    <w:qFormat/>
    <w:uiPriority w:val="0"/>
    <w:pPr>
      <w:ind w:left="2100" w:leftChars="1000"/>
    </w:pPr>
  </w:style>
  <w:style w:type="paragraph" w:styleId="29">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30">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autoRedefine/>
    <w:qFormat/>
    <w:uiPriority w:val="0"/>
    <w:pPr>
      <w:adjustRightInd/>
      <w:spacing w:line="360" w:lineRule="auto"/>
      <w:ind w:left="100" w:leftChars="200" w:hanging="200" w:hangingChars="200"/>
    </w:pPr>
    <w:rPr>
      <w:rFonts w:eastAsia="微软雅黑"/>
    </w:rPr>
  </w:style>
  <w:style w:type="paragraph" w:styleId="32">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5">
    <w:name w:val="toc 5"/>
    <w:basedOn w:val="1"/>
    <w:next w:val="1"/>
    <w:autoRedefine/>
    <w:qFormat/>
    <w:uiPriority w:val="0"/>
    <w:pPr>
      <w:ind w:left="1680" w:leftChars="800"/>
    </w:pPr>
  </w:style>
  <w:style w:type="paragraph" w:styleId="36">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129"/>
    <w:autoRedefine/>
    <w:qFormat/>
    <w:uiPriority w:val="0"/>
    <w:rPr>
      <w:rFonts w:ascii="宋体" w:hAnsi="Courier New" w:cs="Arial"/>
      <w:snapToGrid w:val="0"/>
      <w:szCs w:val="21"/>
    </w:rPr>
  </w:style>
  <w:style w:type="paragraph" w:styleId="38">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185"/>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1"/>
    <w:autoRedefine/>
    <w:qFormat/>
    <w:uiPriority w:val="0"/>
    <w:rPr>
      <w:lang w:val="zh-CN"/>
    </w:rPr>
  </w:style>
  <w:style w:type="paragraph" w:styleId="42">
    <w:name w:val="footer"/>
    <w:basedOn w:val="1"/>
    <w:link w:val="384"/>
    <w:autoRedefine/>
    <w:qFormat/>
    <w:uiPriority w:val="99"/>
    <w:pPr>
      <w:tabs>
        <w:tab w:val="center" w:pos="4153"/>
        <w:tab w:val="right" w:pos="8306"/>
      </w:tabs>
      <w:snapToGrid w:val="0"/>
      <w:jc w:val="left"/>
    </w:pPr>
    <w:rPr>
      <w:sz w:val="18"/>
      <w:szCs w:val="18"/>
    </w:rPr>
  </w:style>
  <w:style w:type="paragraph" w:styleId="43">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100"/>
    <w:autoRedefine/>
    <w:qFormat/>
    <w:uiPriority w:val="0"/>
    <w:rPr>
      <w:b/>
      <w:bCs/>
    </w:rPr>
  </w:style>
  <w:style w:type="paragraph" w:styleId="61">
    <w:name w:val="Body Text First Indent 2"/>
    <w:basedOn w:val="29"/>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2">
    <w:name w:val="标题 2 Char"/>
    <w:autoRedefine/>
    <w:qFormat/>
    <w:uiPriority w:val="0"/>
    <w:rPr>
      <w:rFonts w:ascii="Arial" w:hAnsi="Arial" w:eastAsia="黑体"/>
      <w:b/>
      <w:kern w:val="2"/>
      <w:sz w:val="32"/>
      <w:lang w:val="en-US" w:eastAsia="zh-CN"/>
    </w:rPr>
  </w:style>
  <w:style w:type="paragraph" w:customStyle="1" w:styleId="83">
    <w:name w:val="[Normal]"/>
    <w:autoRedefine/>
    <w:qFormat/>
    <w:uiPriority w:val="0"/>
    <w:rPr>
      <w:rFonts w:ascii="宋体" w:hAnsi="宋体" w:eastAsia="宋体" w:cs="Times New Roman"/>
      <w:sz w:val="24"/>
      <w:szCs w:val="22"/>
      <w:lang w:val="zh-CN" w:eastAsia="zh-CN" w:bidi="ar-SA"/>
    </w:rPr>
  </w:style>
  <w:style w:type="character" w:customStyle="1" w:styleId="84">
    <w:name w:val="标题 1 Char"/>
    <w:link w:val="3"/>
    <w:autoRedefine/>
    <w:qFormat/>
    <w:uiPriority w:val="9"/>
    <w:rPr>
      <w:b/>
      <w:bCs/>
      <w:kern w:val="44"/>
      <w:sz w:val="44"/>
      <w:szCs w:val="44"/>
    </w:rPr>
  </w:style>
  <w:style w:type="paragraph" w:customStyle="1" w:styleId="85">
    <w:name w:val="文档正文"/>
    <w:basedOn w:val="1"/>
    <w:autoRedefine/>
    <w:qFormat/>
    <w:uiPriority w:val="0"/>
    <w:pPr>
      <w:spacing w:line="480" w:lineRule="atLeast"/>
      <w:ind w:firstLine="567"/>
      <w:textAlignment w:val="baseline"/>
    </w:pPr>
    <w:rPr>
      <w:kern w:val="0"/>
      <w:sz w:val="24"/>
      <w:szCs w:val="20"/>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7"/>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2"/>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9"/>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15"/>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1"/>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basedOn w:val="69"/>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3"/>
    <w:autoRedefine/>
    <w:qFormat/>
    <w:uiPriority w:val="0"/>
    <w:rPr>
      <w:rFonts w:ascii="仿宋_GB2312" w:hAnsi="仿宋" w:eastAsia="仿宋_GB2312" w:cs="仿宋_GB2312"/>
      <w:sz w:val="32"/>
      <w:szCs w:val="30"/>
      <w:lang w:val="zh-CN"/>
    </w:rPr>
  </w:style>
  <w:style w:type="character" w:customStyle="1" w:styleId="222">
    <w:name w:val="HTML 地址 Char"/>
    <w:link w:val="34"/>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9"/>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0"/>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9"/>
    <w:autoRedefine/>
    <w:qFormat/>
    <w:uiPriority w:val="0"/>
    <w:rPr>
      <w:rFonts w:ascii="宋体" w:hAnsi="宋体"/>
      <w:kern w:val="2"/>
      <w:sz w:val="24"/>
      <w:szCs w:val="24"/>
    </w:rPr>
  </w:style>
  <w:style w:type="character" w:customStyle="1" w:styleId="268">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basedOn w:val="69"/>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6"/>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3"/>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5"/>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8"/>
    <w:autoRedefine/>
    <w:qFormat/>
    <w:uiPriority w:val="0"/>
    <w:rPr>
      <w:b/>
      <w:bCs/>
      <w:kern w:val="2"/>
      <w:sz w:val="24"/>
      <w:szCs w:val="24"/>
    </w:rPr>
  </w:style>
  <w:style w:type="character" w:customStyle="1" w:styleId="309">
    <w:name w:val="正文文本缩进 2 Char"/>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7"/>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5"/>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4"/>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autoRedefine/>
    <w:qFormat/>
    <w:uiPriority w:val="0"/>
    <w:rPr>
      <w:kern w:val="2"/>
      <w:sz w:val="21"/>
      <w:szCs w:val="24"/>
    </w:rPr>
  </w:style>
  <w:style w:type="character" w:customStyle="1" w:styleId="346">
    <w:name w:val="签名 Char"/>
    <w:link w:val="44"/>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69"/>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3"/>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7"/>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6"/>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7"/>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9"/>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7"/>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6"/>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next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6"/>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1"/>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6"/>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1"/>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0"/>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basedOn w:val="69"/>
    <w:autoRedefine/>
    <w:qFormat/>
    <w:uiPriority w:val="0"/>
    <w:rPr>
      <w:rFonts w:hint="eastAsia" w:ascii="仿宋" w:hAnsi="仿宋" w:eastAsia="仿宋" w:cs="仿宋"/>
      <w:color w:val="000000"/>
      <w:sz w:val="22"/>
      <w:szCs w:val="22"/>
      <w:u w:val="none"/>
    </w:rPr>
  </w:style>
  <w:style w:type="paragraph" w:customStyle="1" w:styleId="963">
    <w:name w:val="Body Text First Indent1"/>
    <w:basedOn w:val="26"/>
    <w:next w:val="1"/>
    <w:autoRedefine/>
    <w:qFormat/>
    <w:uiPriority w:val="0"/>
    <w:pPr>
      <w:spacing w:line="312" w:lineRule="auto"/>
      <w:ind w:firstLine="420"/>
    </w:pPr>
    <w:rPr>
      <w:szCs w:val="24"/>
    </w:rPr>
  </w:style>
  <w:style w:type="paragraph" w:customStyle="1" w:styleId="964">
    <w:name w:val="招标-标题1"/>
    <w:basedOn w:val="1"/>
    <w:autoRedefine/>
    <w:qFormat/>
    <w:uiPriority w:val="0"/>
    <w:pPr>
      <w:spacing w:line="300" w:lineRule="auto"/>
      <w:ind w:left="560"/>
    </w:pPr>
    <w:rPr>
      <w:rFonts w:ascii="宋体" w:hAnsi="宋体"/>
      <w:b/>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46</Pages>
  <Words>8971</Words>
  <Characters>9646</Characters>
  <Lines>287</Lines>
  <Paragraphs>81</Paragraphs>
  <TotalTime>2</TotalTime>
  <ScaleCrop>false</ScaleCrop>
  <LinksUpToDate>false</LinksUpToDate>
  <CharactersWithSpaces>9994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不吃香菜</cp:lastModifiedBy>
  <cp:lastPrinted>2024-05-09T06:54:00Z</cp:lastPrinted>
  <dcterms:modified xsi:type="dcterms:W3CDTF">2025-08-06T09:05:45Z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A53EB17B73D8495BB9F4125C48FF7EC5_13</vt:lpwstr>
  </property>
  <property fmtid="{D5CDD505-2E9C-101B-9397-08002B2CF9AE}" pid="5" name="KSOTemplateDocerSaveRecord">
    <vt:lpwstr>eyJoZGlkIjoiMjI1NDM1OGZjNTMxZjEyN2EwMGQyMDFmZTBkZGVlZDciLCJ1c2VySWQiOiIxNTUxNDY5MjUwIn0=</vt:lpwstr>
  </property>
</Properties>
</file>