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温岭市青少年宫</w:t>
      </w:r>
      <w:r>
        <w:rPr>
          <w:rFonts w:hint="eastAsia" w:ascii="方正小标宋简体" w:hAnsi="方正小标宋简体" w:eastAsia="方正小标宋简体" w:cs="方正小标宋简体"/>
          <w:bCs/>
          <w:spacing w:val="15"/>
          <w:sz w:val="44"/>
          <w:szCs w:val="44"/>
        </w:rPr>
        <w:t>2024年单位预算</w:t>
      </w:r>
    </w:p>
    <w:p>
      <w:pPr>
        <w:spacing w:line="560" w:lineRule="exact"/>
        <w:ind w:firstLine="590" w:firstLineChars="196"/>
        <w:rPr>
          <w:rStyle w:val="9"/>
          <w:color w:val="000000"/>
          <w:sz w:val="30"/>
          <w:szCs w:val="30"/>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二、2024年温岭市青少年宫单位预算安排情况说明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（一）关于温岭市青少年宫2024年收支预算情况的总体说明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（二）关于温岭市青少年宫2024年收入预算情况说明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（三）关于温岭市青少年宫2024年支出预算情况说明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（四）关于温岭市青少年宫2024年财政拨款收支预算情况的总体说明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（五）关于温岭市青少年宫2024年一般公共预算拨款情况说明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（六）关于温岭市青少年宫2024年一般公共预算基本支出情况说明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（七）关于温岭市青少年宫2024年政府性基金预算支出情况说明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（八）关于温岭市青少年宫2024年国有资本经营预算支出情况说明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（九）关于温岭市青少年宫2024年一般公共预算“三公”经费预算情况说明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四、2024年温岭市青少年宫单位预算表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（十）2024年单位项目支出预算表</w:t>
      </w:r>
    </w:p>
    <w:p>
      <w:pPr>
        <w:autoSpaceDE w:val="0"/>
        <w:autoSpaceDN w:val="0"/>
        <w:adjustRightInd w:val="0"/>
        <w:ind w:left="420" w:leftChars="200"/>
        <w:jc w:val="left"/>
        <w:rPr>
          <w:rStyle w:val="9"/>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（十一）2024年单位项目支出绩效表</w:t>
      </w: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tabs>
          <w:tab w:val="left" w:pos="2608"/>
        </w:tabs>
        <w:rPr>
          <w:rStyle w:val="9"/>
          <w:rFonts w:hint="default" w:ascii="黑体" w:eastAsia="黑体"/>
          <w:b w:val="0"/>
          <w:sz w:val="32"/>
          <w:szCs w:val="32"/>
        </w:rPr>
      </w:pPr>
      <w:r>
        <w:rPr>
          <w:rStyle w:val="9"/>
          <w:rFonts w:ascii="黑体" w:eastAsia="黑体"/>
          <w:b w:val="0"/>
          <w:sz w:val="32"/>
          <w:szCs w:val="32"/>
        </w:rPr>
        <w:tab/>
      </w:r>
    </w:p>
    <w:p>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温岭市青少年宫是以少年儿童为主要服务对象的的公益性校外教育文化机构。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任务是通过多种形式向少年儿童进行以爱祖国、爱人民、爱劳动、爱科学、爱社会主义为基本内容的思想品德教育；普及科学技术、文化艺术、体育卫生、劳动技术等方面知识；培养他们多方面的兴趣、爱好和特长；培养他们独立思考、动手动脑、勇于实践和创新的精神，促进少年儿童全面发展，健康成长。</w:t>
      </w:r>
    </w:p>
    <w:p>
      <w:pPr>
        <w:spacing w:line="520" w:lineRule="exact"/>
        <w:ind w:firstLine="627" w:firstLineChars="196"/>
        <w:rPr>
          <w:rFonts w:ascii="仿宋_GB2312" w:eastAsia="仿宋_GB2312"/>
          <w:bCs/>
          <w:sz w:val="32"/>
          <w:szCs w:val="32"/>
        </w:rPr>
      </w:pPr>
      <w:r>
        <w:rPr>
          <w:rFonts w:hint="eastAsia" w:ascii="仿宋_GB2312" w:hAnsi="仿宋_GB2312" w:eastAsia="仿宋_GB2312" w:cs="仿宋_GB2312"/>
          <w:sz w:val="32"/>
          <w:szCs w:val="32"/>
        </w:rPr>
        <w:t>活动的形式包括开展群众性教育活动、开放活动场所、组织兴趣小组活动，主要有训练、演讲、展览、联欢、参观、考察、交流、演出、比赛、游戏、游艺、夏（冬）令营等。</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ind w:firstLine="627" w:firstLineChars="196"/>
        <w:rPr>
          <w:rFonts w:eastAsia="仿宋_GB2312"/>
        </w:rPr>
      </w:pPr>
      <w:r>
        <w:rPr>
          <w:rFonts w:hint="eastAsia" w:ascii="仿宋_GB2312" w:eastAsia="仿宋_GB2312"/>
          <w:bCs/>
          <w:sz w:val="32"/>
          <w:szCs w:val="32"/>
        </w:rPr>
        <w:t>从预算单位构成看，温岭市青少年宫预算包括温岭市</w:t>
      </w:r>
      <w:r>
        <w:rPr>
          <w:rFonts w:hint="eastAsia" w:ascii="仿宋_GB2312" w:hAnsi="ˎ̥" w:eastAsia="仿宋_GB2312" w:cs="宋体"/>
          <w:sz w:val="32"/>
          <w:szCs w:val="32"/>
        </w:rPr>
        <w:t>青少年宫单位预算，本单位无内设</w:t>
      </w:r>
      <w:r>
        <w:rPr>
          <w:rFonts w:hint="eastAsia" w:ascii="仿宋_GB2312" w:eastAsia="仿宋_GB2312"/>
          <w:bCs/>
          <w:sz w:val="32"/>
          <w:szCs w:val="32"/>
        </w:rPr>
        <w:t>机构。</w:t>
      </w:r>
    </w:p>
    <w:p>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二、2024年温岭市青少年宫单位预算安排情况说明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（一）关于温岭市青少年宫</w:t>
      </w:r>
      <w:r>
        <w:rPr>
          <w:rStyle w:val="9"/>
          <w:rFonts w:hint="eastAsia" w:ascii="楷体_GB2312" w:hAnsi="楷体_GB2312" w:eastAsia="楷体_GB2312" w:cs="楷体_GB2312"/>
          <w:b w:val="0"/>
          <w:bCs w:val="0"/>
          <w:color w:val="000000"/>
          <w:sz w:val="32"/>
          <w:szCs w:val="32"/>
        </w:rPr>
        <w:t>2024年收支预算情况的总体说明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综合预算的原则，温岭市青少年宫</w:t>
      </w:r>
      <w:r>
        <w:rPr>
          <w:rFonts w:hint="eastAsia" w:ascii="仿宋_GB2312" w:eastAsia="仿宋_GB2312"/>
          <w:color w:val="000000"/>
          <w:sz w:val="32"/>
          <w:szCs w:val="32"/>
        </w:rPr>
        <w:t>所有收入和支出均纳入单位预算管理。收入包括：一般公共预算拨款收入、政府性基金预算收入、财政专户管理资金收入；支出包括：一般公共服务支出、科学技术支出、社会保障和就业支出、城乡社区支出。温岭市青少年宫2024年收支总预算1815.61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（二）关于温岭市青少年宫2024年收入预算情况说明</w:t>
      </w:r>
    </w:p>
    <w:p>
      <w:pPr>
        <w:spacing w:line="520" w:lineRule="exact"/>
        <w:ind w:firstLine="642"/>
        <w:rPr>
          <w:rFonts w:ascii="仿宋_GB2312" w:eastAsia="仿宋_GB2312"/>
          <w:color w:val="000000"/>
          <w:sz w:val="32"/>
          <w:szCs w:val="32"/>
        </w:rPr>
      </w:pPr>
      <w:r>
        <w:rPr>
          <w:rFonts w:hint="eastAsia" w:ascii="仿宋_GB2312" w:hAnsi="仿宋_GB2312" w:eastAsia="仿宋_GB2312" w:cs="仿宋_GB2312"/>
          <w:color w:val="000000"/>
          <w:sz w:val="32"/>
          <w:szCs w:val="32"/>
        </w:rPr>
        <w:t>温岭市青少年宫2024年收入预算1815.61万元，比上年执行数增加464.63万元，</w:t>
      </w:r>
      <w:r>
        <w:rPr>
          <w:rFonts w:hint="eastAsia" w:ascii="仿宋_GB2312" w:hAnsi="仿宋_GB2312" w:eastAsia="仿宋_GB2312" w:cs="仿宋_GB2312"/>
          <w:color w:val="000000"/>
          <w:sz w:val="32"/>
        </w:rPr>
        <w:t>增</w:t>
      </w:r>
      <w:r>
        <w:rPr>
          <w:rFonts w:hint="eastAsia" w:ascii="仿宋_GB2312" w:hAnsi="仿宋_GB2312" w:eastAsia="仿宋_GB2312" w:cs="仿宋_GB2312"/>
          <w:color w:val="000000"/>
          <w:sz w:val="32"/>
          <w:szCs w:val="32"/>
        </w:rPr>
        <w:t>长34.4</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szCs w:val="32"/>
        </w:rPr>
        <w:t>主要是</w:t>
      </w:r>
      <w:r>
        <w:rPr>
          <w:rFonts w:hint="eastAsia" w:ascii="仿宋_GB2312" w:eastAsia="仿宋_GB2312"/>
          <w:color w:val="000000"/>
          <w:sz w:val="32"/>
          <w:szCs w:val="32"/>
        </w:rPr>
        <w:t>2024年增加滨海镇青少年宫工程项目预算</w:t>
      </w:r>
      <w:r>
        <w:rPr>
          <w:rFonts w:hint="eastAsia" w:ascii="仿宋_GB2312" w:hAnsi="仿宋_GB2312" w:eastAsia="仿宋_GB2312" w:cs="仿宋_GB2312"/>
          <w:color w:val="000000"/>
          <w:sz w:val="32"/>
          <w:szCs w:val="32"/>
        </w:rPr>
        <w:t>。</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386.21</w:t>
      </w:r>
      <w:r>
        <w:rPr>
          <w:rFonts w:hint="eastAsia" w:ascii="仿宋_GB2312" w:eastAsia="仿宋_GB2312"/>
          <w:color w:val="000000"/>
          <w:sz w:val="32"/>
          <w:szCs w:val="32"/>
        </w:rPr>
        <w:t>万元（上年结转0.00万元），占21.3%；政府性基金收入</w:t>
      </w:r>
      <w:r>
        <w:rPr>
          <w:rFonts w:ascii="仿宋_GB2312" w:eastAsia="仿宋_GB2312"/>
          <w:color w:val="000000"/>
          <w:sz w:val="32"/>
          <w:szCs w:val="32"/>
        </w:rPr>
        <w:t>200.00</w:t>
      </w:r>
      <w:r>
        <w:rPr>
          <w:rFonts w:hint="eastAsia" w:ascii="仿宋_GB2312" w:eastAsia="仿宋_GB2312"/>
          <w:color w:val="000000"/>
          <w:sz w:val="32"/>
          <w:szCs w:val="32"/>
        </w:rPr>
        <w:t>万元（上年结转0.00万元），占11.0%；专户资金1229.40万元，占67.7%。</w:t>
      </w:r>
    </w:p>
    <w:p>
      <w:pPr>
        <w:spacing w:line="520" w:lineRule="exact"/>
        <w:ind w:firstLine="642"/>
        <w:rPr>
          <w:rFonts w:ascii="仿宋_GB2312" w:eastAsia="仿宋_GB2312"/>
          <w:color w:val="000000"/>
          <w:sz w:val="32"/>
          <w:szCs w:val="32"/>
        </w:rPr>
      </w:pPr>
      <w:r>
        <w:rPr>
          <w:rFonts w:hint="eastAsia" w:ascii="楷体_GB2312" w:hAnsi="楷体_GB2312" w:eastAsia="楷体_GB2312" w:cs="楷体_GB2312"/>
          <w:bCs/>
          <w:color w:val="000000"/>
          <w:sz w:val="32"/>
          <w:szCs w:val="32"/>
        </w:rPr>
        <w:t>（三）关于温岭市青少年宫2024年支出预算情况说明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温岭市青少年宫2024年支出预算1815.61万元，比上年执行数增加464.63万元，</w:t>
      </w:r>
      <w:r>
        <w:rPr>
          <w:rFonts w:hint="eastAsia" w:ascii="仿宋_GB2312" w:hAnsi="仿宋_GB2312" w:eastAsia="仿宋_GB2312" w:cs="仿宋_GB2312"/>
          <w:color w:val="000000"/>
          <w:sz w:val="32"/>
        </w:rPr>
        <w:t>增长34.4%，</w:t>
      </w:r>
      <w:r>
        <w:rPr>
          <w:rFonts w:hint="eastAsia" w:ascii="仿宋_GB2312" w:hAnsi="仿宋_GB2312" w:eastAsia="仿宋_GB2312" w:cs="仿宋_GB2312"/>
          <w:color w:val="000000"/>
          <w:sz w:val="32"/>
          <w:szCs w:val="32"/>
        </w:rPr>
        <w:t>主要是</w:t>
      </w:r>
      <w:r>
        <w:rPr>
          <w:rFonts w:hint="eastAsia" w:ascii="仿宋_GB2312" w:eastAsia="仿宋_GB2312"/>
          <w:color w:val="000000"/>
          <w:sz w:val="32"/>
          <w:szCs w:val="32"/>
        </w:rPr>
        <w:t>2024年增加滨海镇青少年宫工程项目预算</w:t>
      </w:r>
      <w:r>
        <w:rPr>
          <w:rFonts w:hint="eastAsia" w:ascii="仿宋_GB2312" w:hAnsi="仿宋_GB2312" w:eastAsia="仿宋_GB2312" w:cs="仿宋_GB2312"/>
          <w:color w:val="000000"/>
          <w:sz w:val="32"/>
          <w:szCs w:val="32"/>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1.按支出功能分类，包括一般公共服务支出1564.26万元、科学技术支出28.00万元、社会保障和就业支出23.35万元、城乡社区支出200.00万元。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2.按支出用途分类，包括人员支出225.76万元，占12.4%；日常公用支出112.05万元，占6.2%；项目支出1477.80万元，占81.4%。</w:t>
      </w:r>
    </w:p>
    <w:p>
      <w:pPr>
        <w:spacing w:line="520" w:lineRule="exact"/>
        <w:ind w:firstLine="642"/>
        <w:rPr>
          <w:rFonts w:ascii="仿宋_GB2312" w:eastAsia="仿宋_GB2312"/>
          <w:color w:val="000000"/>
          <w:sz w:val="32"/>
          <w:szCs w:val="32"/>
        </w:rPr>
      </w:pPr>
      <w:r>
        <w:rPr>
          <w:rFonts w:hint="eastAsia" w:ascii="仿宋_GB2312" w:eastAsia="仿宋_GB2312"/>
          <w:sz w:val="32"/>
          <w:szCs w:val="32"/>
        </w:rPr>
        <w:t>年终结转结余0.00万元</w:t>
      </w:r>
      <w:r>
        <w:rPr>
          <w:rFonts w:hint="eastAsia" w:ascii="仿宋_GB2312" w:eastAsia="仿宋_GB2312"/>
          <w:color w:val="000000"/>
          <w:sz w:val="32"/>
          <w:szCs w:val="32"/>
        </w:rPr>
        <w:t>。</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（四）关于温岭市青少年宫2024年财政拨款收支预算情况的总体说明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温岭市青少年宫2024年财政拨款收支总预算586.21万元。收入包括：一般公共预算386.21万元、政府性基金200.00万元；支出包括：一般公共服务支出334.86万元、科学技术支出28.00万元、社会保障和就业支出23.35万元、城乡社区支出200.00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关于温岭市青少年宫2024年一般公共预算拨款情况说明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温岭市青少年宫2024年一般公共预算拨款</w:t>
      </w:r>
      <w:r>
        <w:rPr>
          <w:rFonts w:hint="eastAsia" w:ascii="仿宋_GB2312" w:hAnsi="仿宋_GB2312" w:eastAsia="仿宋_GB2312" w:cs="仿宋_GB2312"/>
          <w:bCs/>
          <w:color w:val="000000"/>
          <w:sz w:val="32"/>
          <w:szCs w:val="32"/>
        </w:rPr>
        <w:t>386.21</w:t>
      </w:r>
      <w:r>
        <w:rPr>
          <w:rFonts w:hint="eastAsia" w:ascii="仿宋_GB2312" w:hAnsi="仿宋_GB2312" w:eastAsia="仿宋_GB2312" w:cs="仿宋_GB2312"/>
          <w:color w:val="000000"/>
          <w:sz w:val="32"/>
          <w:szCs w:val="32"/>
        </w:rPr>
        <w:t>万元，比上年执行数增加11.17万元，</w:t>
      </w:r>
      <w:r>
        <w:rPr>
          <w:rFonts w:hint="eastAsia" w:ascii="仿宋_GB2312" w:hAnsi="仿宋_GB2312" w:eastAsia="仿宋_GB2312" w:cs="仿宋_GB2312"/>
          <w:color w:val="000000"/>
          <w:sz w:val="32"/>
        </w:rPr>
        <w:t>增长</w:t>
      </w:r>
      <w:r>
        <w:rPr>
          <w:rFonts w:hint="eastAsia" w:ascii="仿宋_GB2312" w:hAnsi="仿宋_GB2312" w:eastAsia="仿宋_GB2312" w:cs="仿宋_GB2312"/>
          <w:color w:val="000000"/>
          <w:sz w:val="32"/>
          <w:szCs w:val="32"/>
        </w:rPr>
        <w:t>2.9</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szCs w:val="32"/>
        </w:rPr>
        <w:t>主要是人员有变化。</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一般公共服务支出334.86万元，占86.7%；科学技术支出28.00万元，占7.2%；社会保障和就业支出23.35万元，占6.0%。</w:t>
      </w:r>
    </w:p>
    <w:p>
      <w:pPr>
        <w:tabs>
          <w:tab w:val="left" w:pos="312"/>
        </w:tabs>
        <w:spacing w:line="520" w:lineRule="exact"/>
        <w:ind w:firstLine="630" w:firstLineChars="196"/>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color w:val="000000"/>
          <w:sz w:val="32"/>
          <w:szCs w:val="32"/>
        </w:rPr>
        <w:t>（1）</w:t>
      </w:r>
      <w:r>
        <w:rPr>
          <w:rFonts w:hint="eastAsia" w:ascii="仿宋_GB2312" w:eastAsia="仿宋_GB2312"/>
          <w:sz w:val="32"/>
          <w:szCs w:val="32"/>
        </w:rPr>
        <w:t>一般公共服务支出（类）群众团体事务（款）事业运行（项）314.46万元，主要用于事业在职人员工资福利支出、对个人和家庭的补助支出及其他基本支出。</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（2）一般公共服务支出（类）群众团体事务（款）其他群众团体事务支出（项）20.4万元，主要用于12355青少年平台、青少年毒品预防教育馆等项目支出。</w:t>
      </w:r>
    </w:p>
    <w:p>
      <w:pPr>
        <w:pStyle w:val="2"/>
        <w:spacing w:line="600" w:lineRule="exact"/>
        <w:ind w:firstLine="640" w:firstLineChars="200"/>
        <w:rPr>
          <w:rFonts w:hint="default"/>
        </w:rPr>
      </w:pPr>
      <w:r>
        <w:rPr>
          <w:sz w:val="32"/>
          <w:szCs w:val="32"/>
        </w:rPr>
        <w:t>（3）</w:t>
      </w:r>
      <w:r>
        <w:rPr>
          <w:color w:val="auto"/>
          <w:sz w:val="32"/>
          <w:szCs w:val="32"/>
        </w:rPr>
        <w:t>科学技术支出（类）其他科学支出（款）其他科学支出（项）28.00万元，主要用于青少年科普活动中心项目支出。</w:t>
      </w:r>
    </w:p>
    <w:p>
      <w:pPr>
        <w:pStyle w:val="2"/>
        <w:spacing w:line="600" w:lineRule="exact"/>
        <w:ind w:firstLine="640" w:firstLineChars="200"/>
        <w:rPr>
          <w:rFonts w:hint="default"/>
          <w:color w:val="auto"/>
          <w:sz w:val="32"/>
          <w:szCs w:val="32"/>
        </w:rPr>
      </w:pPr>
      <w:r>
        <w:rPr>
          <w:color w:val="auto"/>
          <w:sz w:val="32"/>
          <w:szCs w:val="32"/>
        </w:rPr>
        <w:t>（4）社会保障和就业支出（类）行政事业单位养老支出（款）机关事业单位基本养老保险缴费支出（项）15.57万元，主要用于在职人员养老保险单位缴费支出。</w:t>
      </w:r>
    </w:p>
    <w:p>
      <w:pPr>
        <w:pStyle w:val="2"/>
        <w:spacing w:line="600" w:lineRule="exact"/>
        <w:ind w:firstLine="640" w:firstLineChars="200"/>
        <w:rPr>
          <w:rFonts w:hint="default"/>
          <w:color w:val="auto"/>
          <w:sz w:val="32"/>
          <w:szCs w:val="32"/>
        </w:rPr>
      </w:pPr>
      <w:r>
        <w:rPr>
          <w:color w:val="auto"/>
          <w:sz w:val="32"/>
          <w:szCs w:val="32"/>
        </w:rPr>
        <w:t>（5）社会保障和就业支出（类）行政事业单位养老支出（款）机关事业单位职业年金缴费支出（项）7.78万元，主要用于在职人员职业年金单位缴费支出。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（六）关于温岭市青少年宫2024年一般公共预算基本支出情况说明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温岭市青少年宫2024年一般公共预算基本支出337.81万元，其中：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225.76万元，主要包括：基本工资、津贴补贴、奖金、绩效工资、机关事业单位基本养老保险缴费、职业年金缴费、职工基本医疗保险缴费、公务员医疗补助缴费、其他社会保障缴费、住房公积金、医疗费、其他工资福利支出。</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公用经费112.05万元，主要包括：水费、电费、邮电费、培训费、公务接待费、劳务费、工会经费、福利费、公务用车运行维护费、其他商品和服务支出。</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（七）关于温岭市青少年宫2024年政府性基金预算支出情况说明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温岭市青少年宫2024年政府性基金预算拨款200.00万元，比2023年执行数增加</w:t>
      </w:r>
      <w:r>
        <w:rPr>
          <w:rFonts w:hint="eastAsia" w:ascii="仿宋_GB2312" w:hAnsi="仿宋_GB2312" w:eastAsia="仿宋_GB2312" w:cs="仿宋_GB2312"/>
          <w:color w:val="000000"/>
          <w:sz w:val="32"/>
        </w:rPr>
        <w:t>200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rPr>
        <w:t>增长比例不可计算，</w:t>
      </w:r>
      <w:r>
        <w:rPr>
          <w:rFonts w:hint="eastAsia" w:ascii="仿宋_GB2312" w:hAnsi="仿宋_GB2312" w:eastAsia="仿宋_GB2312" w:cs="仿宋_GB2312"/>
          <w:color w:val="000000"/>
          <w:sz w:val="32"/>
          <w:szCs w:val="32"/>
        </w:rPr>
        <w:t>主要是增加</w:t>
      </w:r>
      <w:r>
        <w:rPr>
          <w:rFonts w:hint="eastAsia" w:ascii="仿宋_GB2312" w:eastAsia="仿宋_GB2312"/>
          <w:color w:val="000000"/>
          <w:sz w:val="32"/>
          <w:szCs w:val="32"/>
        </w:rPr>
        <w:t>滨海镇青少年宫工程项目预算。</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城乡社区</w:t>
      </w:r>
      <w:r>
        <w:rPr>
          <w:rFonts w:hint="eastAsia" w:ascii="仿宋_GB2312" w:hAnsi="仿宋_GB2312" w:eastAsia="仿宋_GB2312" w:cs="仿宋_GB2312"/>
          <w:color w:val="000000"/>
          <w:sz w:val="32"/>
          <w:szCs w:val="32"/>
          <w:lang w:eastAsia="zh-CN"/>
        </w:rPr>
        <w:t>（类</w:t>
      </w:r>
      <w:bookmarkStart w:id="0" w:name="_GoBack"/>
      <w:bookmarkEnd w:id="0"/>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支出200.00万元，占100.0%。</w:t>
      </w:r>
    </w:p>
    <w:p>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3.政府性基金预算拨款具体使用情况。</w:t>
      </w:r>
    </w:p>
    <w:p>
      <w:pPr>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eastAsia="仿宋_GB2312" w:cs="仿宋_GB2312"/>
          <w:color w:val="000000"/>
          <w:sz w:val="32"/>
          <w:szCs w:val="32"/>
        </w:rPr>
        <w:t>城乡社区支出</w:t>
      </w:r>
      <w:r>
        <w:rPr>
          <w:rFonts w:hint="eastAsia" w:hAnsi="仿宋_GB2312" w:eastAsia="仿宋_GB2312" w:cs="仿宋_GB2312"/>
          <w:color w:val="000000"/>
          <w:sz w:val="32"/>
          <w:szCs w:val="32"/>
        </w:rPr>
        <w:t>（类）</w:t>
      </w:r>
      <w:r>
        <w:rPr>
          <w:rFonts w:hint="eastAsia" w:eastAsia="仿宋_GB2312" w:cs="仿宋_GB2312"/>
          <w:color w:val="000000"/>
          <w:sz w:val="32"/>
          <w:szCs w:val="32"/>
        </w:rPr>
        <w:t>国有土地使用权出让收入安排的支出</w:t>
      </w:r>
      <w:r>
        <w:rPr>
          <w:rFonts w:hint="eastAsia" w:hAnsi="仿宋_GB2312" w:eastAsia="仿宋_GB2312" w:cs="仿宋_GB2312"/>
          <w:color w:val="000000"/>
          <w:sz w:val="32"/>
          <w:szCs w:val="32"/>
        </w:rPr>
        <w:t>（款）</w:t>
      </w:r>
      <w:r>
        <w:rPr>
          <w:rFonts w:hint="eastAsia" w:eastAsia="仿宋_GB2312" w:cs="仿宋_GB2312"/>
          <w:color w:val="000000"/>
          <w:sz w:val="32"/>
          <w:szCs w:val="32"/>
        </w:rPr>
        <w:t>农村社会事业</w:t>
      </w:r>
      <w:r>
        <w:rPr>
          <w:rFonts w:hint="eastAsia" w:ascii="仿宋_GB2312" w:eastAsia="仿宋_GB2312" w:cs="仿宋_GB2312"/>
          <w:color w:val="000000"/>
          <w:sz w:val="32"/>
          <w:szCs w:val="32"/>
        </w:rPr>
        <w:t>支出</w:t>
      </w:r>
      <w:r>
        <w:rPr>
          <w:rFonts w:hint="eastAsia" w:ascii="仿宋_GB2312" w:hAnsi="仿宋_GB2312" w:eastAsia="仿宋_GB2312" w:cs="仿宋_GB2312"/>
          <w:color w:val="000000"/>
          <w:sz w:val="32"/>
          <w:szCs w:val="32"/>
        </w:rPr>
        <w:t>（项）</w:t>
      </w:r>
      <w:r>
        <w:rPr>
          <w:rFonts w:hint="eastAsia" w:ascii="仿宋_GB2312" w:eastAsia="仿宋_GB2312" w:cs="仿宋_GB2312"/>
          <w:color w:val="000000"/>
          <w:sz w:val="32"/>
          <w:szCs w:val="32"/>
        </w:rPr>
        <w:t>2</w:t>
      </w:r>
      <w:r>
        <w:rPr>
          <w:rFonts w:hint="eastAsia" w:ascii="仿宋_GB2312" w:hAnsi="仿宋_GB2312" w:eastAsia="仿宋_GB2312" w:cs="仿宋_GB2312"/>
          <w:color w:val="000000"/>
          <w:sz w:val="32"/>
          <w:szCs w:val="32"/>
        </w:rPr>
        <w:t>00.00万元，主</w:t>
      </w:r>
      <w:r>
        <w:rPr>
          <w:rFonts w:hint="eastAsia" w:hAnsi="仿宋_GB2312" w:eastAsia="仿宋_GB2312" w:cs="仿宋_GB2312"/>
          <w:color w:val="000000"/>
          <w:sz w:val="32"/>
          <w:szCs w:val="32"/>
        </w:rPr>
        <w:t>要用于</w:t>
      </w:r>
      <w:r>
        <w:rPr>
          <w:rFonts w:hint="eastAsia" w:ascii="仿宋_GB2312" w:eastAsia="仿宋_GB2312"/>
          <w:sz w:val="32"/>
          <w:szCs w:val="32"/>
        </w:rPr>
        <w:t>滨海镇青少年宫工程项目支出</w:t>
      </w:r>
      <w:r>
        <w:rPr>
          <w:rFonts w:hint="eastAsia" w:hAnsi="仿宋_GB2312" w:eastAsia="仿宋_GB2312" w:cs="仿宋_GB2312"/>
          <w:color w:val="000000"/>
          <w:sz w:val="32"/>
          <w:szCs w:val="32"/>
        </w:rPr>
        <w:t>。</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w:t>
      </w:r>
      <w:r>
        <w:rPr>
          <w:rFonts w:ascii="楷体_GB2312" w:hAnsi="楷体_GB2312" w:eastAsia="楷体_GB2312" w:cs="楷体_GB2312"/>
          <w:bCs/>
          <w:color w:val="000000"/>
          <w:sz w:val="32"/>
          <w:szCs w:val="32"/>
        </w:rPr>
        <w:t>温岭市青少年宫2024</w:t>
      </w:r>
      <w:r>
        <w:rPr>
          <w:rFonts w:hint="eastAsia" w:ascii="楷体_GB2312" w:hAnsi="楷体_GB2312" w:eastAsia="楷体_GB2312" w:cs="楷体_GB2312"/>
          <w:bCs/>
          <w:color w:val="000000"/>
          <w:sz w:val="32"/>
          <w:szCs w:val="32"/>
        </w:rPr>
        <w:t>年国有资本经营预算支出情况说明</w:t>
      </w:r>
    </w:p>
    <w:p>
      <w:pPr>
        <w:ind w:firstLine="640" w:firstLineChars="200"/>
        <w:rPr>
          <w:rFonts w:eastAsia="仿宋_GB2312"/>
        </w:rPr>
      </w:pPr>
      <w:r>
        <w:rPr>
          <w:rFonts w:hint="eastAsia" w:ascii="仿宋_GB2312" w:hAnsi="仿宋_GB2312" w:eastAsia="仿宋_GB2312" w:cs="仿宋_GB2312"/>
          <w:color w:val="000000"/>
          <w:sz w:val="32"/>
          <w:szCs w:val="32"/>
        </w:rPr>
        <w:t>温岭市青少年宫2024年没有使用国有资本经营预算拨款安排的支出，与上年持平。</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（九）关于温岭市青少年宫2024年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温岭市青少年宫2024年“三公”经费预算数为3.15万元，</w:t>
      </w:r>
      <w:r>
        <w:rPr>
          <w:rFonts w:hint="eastAsia" w:ascii="仿宋_GB2312" w:hAnsi="仿宋" w:eastAsia="仿宋_GB2312" w:cs="宋体"/>
          <w:sz w:val="32"/>
          <w:szCs w:val="32"/>
        </w:rPr>
        <w:t>比上年预算数增加0万元，</w:t>
      </w:r>
      <w:r>
        <w:rPr>
          <w:rFonts w:hint="eastAsia" w:ascii="仿宋_GB2312" w:hAnsi="仿宋_GB2312" w:eastAsia="仿宋_GB2312"/>
          <w:sz w:val="32"/>
          <w:shd w:val="clear" w:color="auto" w:fill="FFFFFF"/>
        </w:rPr>
        <w:t>与上年预算数持平</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 w:eastAsia="仿宋_GB2312" w:cs="宋体"/>
          <w:sz w:val="32"/>
          <w:szCs w:val="32"/>
        </w:rPr>
        <w:t>根据因公出国计划和实际工作需要，2024年安排因公出国（境）费用预算0万元，比上年预算数增加0万元，与上年预算数持平。主要用于预算单位人员公务出国（境）的国际旅费、国外城市间交通费、住宿费、伙食费、培训费、公杂费等支出。持平的主要原因是无因公出国（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2.公务接待费：2024年安排公务接待费预算0.50万元，比上年预算数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rPr>
        <w:t>0</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与上年预算数</w:t>
      </w:r>
      <w:r>
        <w:rPr>
          <w:rFonts w:hint="eastAsia" w:ascii="仿宋_GB2312" w:hAnsi="仿宋_GB2312" w:eastAsia="仿宋_GB2312"/>
          <w:sz w:val="32"/>
          <w:shd w:val="clear" w:color="auto" w:fill="FFFFFF"/>
        </w:rPr>
        <w:t>持平</w:t>
      </w:r>
      <w:r>
        <w:rPr>
          <w:rFonts w:hint="eastAsia" w:ascii="仿宋_GB2312" w:hAnsi="仿宋_GB2312" w:eastAsia="仿宋_GB2312" w:cs="仿宋_GB2312"/>
          <w:sz w:val="32"/>
          <w:szCs w:val="32"/>
        </w:rPr>
        <w:t>。主要用于接待</w:t>
      </w:r>
      <w:r>
        <w:rPr>
          <w:rFonts w:hint="eastAsia" w:ascii="仿宋_GB2312" w:hAnsi="ˎ̥" w:eastAsia="仿宋_GB2312" w:cs="宋体"/>
          <w:sz w:val="32"/>
          <w:szCs w:val="32"/>
        </w:rPr>
        <w:t>省内外等</w:t>
      </w:r>
      <w:r>
        <w:rPr>
          <w:rFonts w:hint="eastAsia" w:ascii="仿宋_GB2312" w:eastAsia="仿宋_GB2312"/>
          <w:sz w:val="32"/>
          <w:szCs w:val="32"/>
        </w:rPr>
        <w:t>青少年</w:t>
      </w:r>
      <w:r>
        <w:rPr>
          <w:rFonts w:hint="eastAsia" w:ascii="仿宋_GB2312" w:hAnsi="ˎ̥" w:eastAsia="仿宋_GB2312" w:cs="宋体"/>
          <w:sz w:val="32"/>
          <w:szCs w:val="32"/>
        </w:rPr>
        <w:t>宫来温调研费用</w:t>
      </w:r>
      <w:r>
        <w:rPr>
          <w:rFonts w:hint="eastAsia" w:ascii="仿宋_GB2312" w:hAnsi="仿宋_GB2312" w:eastAsia="仿宋_GB2312" w:cs="仿宋_GB2312"/>
          <w:sz w:val="32"/>
          <w:szCs w:val="32"/>
        </w:rPr>
        <w:t>等支出。持平的主要原因是预计接待人数接近。</w:t>
      </w:r>
    </w:p>
    <w:p>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hAnsi="仿宋_GB2312" w:eastAsia="仿宋_GB2312" w:cs="仿宋_GB2312"/>
          <w:sz w:val="32"/>
          <w:szCs w:val="32"/>
        </w:rPr>
        <w:t>2024年安排公务用车购置及运行维护费预算2.65万元，</w:t>
      </w:r>
      <w:r>
        <w:rPr>
          <w:rFonts w:hint="eastAsia" w:ascii="仿宋_GB2312" w:hAnsi="仿宋" w:eastAsia="仿宋_GB2312" w:cs="宋体"/>
          <w:sz w:val="32"/>
          <w:szCs w:val="32"/>
        </w:rPr>
        <w:t>比上年预算数增加0万元，</w:t>
      </w:r>
      <w:r>
        <w:rPr>
          <w:rFonts w:hint="eastAsia" w:ascii="仿宋_GB2312" w:hAnsi="仿宋_GB2312" w:eastAsia="仿宋_GB2312" w:cs="仿宋_GB2312"/>
          <w:sz w:val="32"/>
          <w:szCs w:val="32"/>
        </w:rPr>
        <w:t>与上年预算数持平。其中，</w:t>
      </w:r>
      <w:r>
        <w:rPr>
          <w:rFonts w:hint="eastAsia" w:ascii="仿宋_GB2312" w:eastAsia="仿宋_GB2312"/>
          <w:sz w:val="32"/>
          <w:szCs w:val="32"/>
        </w:rPr>
        <w:t>公务用车购置支出0万元（含购置税等附加费用），主要用于经批准购置的0辆公务用车，比上年预算数增加0万元，与上年预算数持平，主要原因是未安排公务用车购置；</w:t>
      </w:r>
      <w:r>
        <w:rPr>
          <w:rFonts w:hint="eastAsia" w:ascii="仿宋_GB2312" w:hAnsi="仿宋_GB2312" w:eastAsia="仿宋_GB2312" w:cs="仿宋_GB2312"/>
          <w:sz w:val="32"/>
          <w:szCs w:val="32"/>
        </w:rPr>
        <w:t>公务用车运行维护费支出2.65万元，主要用于公务用车燃料费、维修费、过桥过路费、保险费等支出，</w:t>
      </w:r>
      <w:r>
        <w:rPr>
          <w:rFonts w:hint="eastAsia" w:ascii="仿宋_GB2312" w:hAnsi="仿宋" w:eastAsia="仿宋_GB2312" w:cs="宋体"/>
          <w:sz w:val="32"/>
          <w:szCs w:val="32"/>
        </w:rPr>
        <w:t>比上年预算数增加0万元，与</w:t>
      </w:r>
      <w:r>
        <w:rPr>
          <w:rFonts w:hint="eastAsia" w:ascii="仿宋_GB2312" w:hAnsi="仿宋_GB2312" w:eastAsia="仿宋_GB2312" w:cs="仿宋_GB2312"/>
          <w:sz w:val="32"/>
          <w:szCs w:val="32"/>
        </w:rPr>
        <w:t>上年预算数持平，主要原因是公务用车数量无变化。</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2"/>
        <w:ind w:firstLine="480" w:firstLineChars="150"/>
        <w:rPr>
          <w:rFonts w:hint="default"/>
        </w:rPr>
      </w:pPr>
      <w:r>
        <w:rPr>
          <w:rFonts w:hAnsi="ˎ̥" w:cs="宋体"/>
          <w:sz w:val="32"/>
          <w:szCs w:val="32"/>
        </w:rPr>
        <w:t>温岭市青少年宫是事业单位，2024年无机关运行经费。</w:t>
      </w:r>
    </w:p>
    <w:p>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2024年温岭市青少年宫</w:t>
      </w:r>
      <w:r>
        <w:rPr>
          <w:rFonts w:hint="eastAsia" w:ascii="仿宋_GB2312" w:eastAsia="仿宋_GB2312"/>
          <w:color w:val="000000"/>
          <w:sz w:val="32"/>
          <w:szCs w:val="32"/>
        </w:rPr>
        <w:t>政府采购预算总额</w:t>
      </w:r>
      <w:r>
        <w:rPr>
          <w:rFonts w:ascii="仿宋_GB2312" w:eastAsia="仿宋_GB2312"/>
          <w:color w:val="000000"/>
          <w:sz w:val="32"/>
          <w:szCs w:val="32"/>
        </w:rPr>
        <w:t>145.45</w:t>
      </w:r>
      <w:r>
        <w:rPr>
          <w:rFonts w:hint="eastAsia" w:ascii="仿宋_GB2312" w:eastAsia="仿宋_GB2312"/>
          <w:color w:val="000000"/>
          <w:sz w:val="32"/>
          <w:szCs w:val="32"/>
        </w:rPr>
        <w:t>万元，其中：政府采购货物预算101.53万元、政府采购工程预算0.00万元、政府采购服务预算</w:t>
      </w:r>
      <w:r>
        <w:rPr>
          <w:rFonts w:ascii="仿宋_GB2312" w:eastAsia="仿宋_GB2312"/>
          <w:color w:val="000000"/>
          <w:sz w:val="32"/>
          <w:szCs w:val="32"/>
        </w:rPr>
        <w:t>43.92</w:t>
      </w:r>
      <w:r>
        <w:rPr>
          <w:rFonts w:hint="eastAsia" w:ascii="仿宋_GB2312" w:eastAsia="仿宋_GB2312"/>
          <w:color w:val="000000"/>
          <w:sz w:val="32"/>
          <w:szCs w:val="32"/>
        </w:rPr>
        <w:t>万元。</w:t>
      </w:r>
    </w:p>
    <w:p>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截至2023年12月31日，温岭市青少年宫共有车辆</w:t>
      </w:r>
      <w:r>
        <w:rPr>
          <w:rFonts w:hint="eastAsia" w:ascii="仿宋_GB2312" w:hAnsi="仿宋_GB2312" w:eastAsia="仿宋_GB2312" w:cs="仿宋_GB2312"/>
          <w:sz w:val="32"/>
          <w:szCs w:val="32"/>
        </w:rPr>
        <w:t xml:space="preserve">1辆，其中，应急保障用车0辆、老干部服务用车0辆、执法执勤用车0辆、特种专业技术用车0辆、行政执法专用车0辆、业务用车1辆。单位价值50万元以上通用设备0台（套），单位价值100万元以上专用设备0台（套）。  </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预算未安排购置车辆、单位价值50万元以上通用设备及单位价值100万元以上专用设备</w:t>
      </w:r>
      <w:r>
        <w:rPr>
          <w:rFonts w:hint="eastAsia" w:ascii="仿宋_GB2312" w:hAnsi="仿宋_GB2312" w:eastAsia="仿宋_GB2312" w:cs="仿宋_GB2312"/>
          <w:sz w:val="32"/>
          <w:szCs w:val="32"/>
        </w:rPr>
        <w:t>。</w:t>
      </w:r>
    </w:p>
    <w:p>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2024年温岭市青少年宫其他运转类项目和特定目标类项目均实行绩效目标管理，共计1个一级项目，涉及当年资金1477.80万元。同时，将按照相关制度规定开展绩效自评。一级项目绩效目标表，详见“</w:t>
      </w:r>
      <w:r>
        <w:rPr>
          <w:rFonts w:hint="eastAsia" w:ascii="仿宋_GB2312" w:hAnsi="仿宋_GB2312" w:eastAsia="仿宋_GB2312" w:cs="仿宋_GB2312"/>
          <w:sz w:val="32"/>
          <w:szCs w:val="32"/>
        </w:rPr>
        <w:t>2024年单位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6.一般公共服务支出（类）群众团体事务（款）事业运行（项）：指反映事业单位的基本支出，不包括行政单位（包括实行公务员管理的事业单位）后勤服务中心、医务室等附属事业单位。</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7.一般公共服务支出（类）群众团体事务（款）其他群众团体事务支出（项）：指反映除上述项目以外其他用于群众团体事务方面的支出。</w:t>
      </w:r>
    </w:p>
    <w:p>
      <w:pPr>
        <w:pStyle w:val="2"/>
        <w:spacing w:line="600" w:lineRule="exact"/>
        <w:ind w:firstLine="640" w:firstLineChars="200"/>
        <w:rPr>
          <w:rFonts w:hint="default"/>
          <w:color w:val="auto"/>
          <w:sz w:val="32"/>
          <w:szCs w:val="32"/>
        </w:rPr>
      </w:pPr>
      <w:r>
        <w:rPr>
          <w:color w:val="auto"/>
          <w:sz w:val="32"/>
          <w:szCs w:val="32"/>
        </w:rPr>
        <w:t>8.社会保障和就业支出（类）行政事业单位养老支出（款）机关事业单位基本养老保险缴费支出（项）：</w:t>
      </w:r>
      <w:r>
        <w:rPr>
          <w:rFonts w:cs="仿宋_GB2312"/>
          <w:color w:val="auto"/>
          <w:kern w:val="2"/>
          <w:sz w:val="32"/>
          <w:szCs w:val="32"/>
        </w:rPr>
        <w:t>指反映机关事业单位实施养老保险制度由单位缴纳的基本养老保险费支出。</w:t>
      </w:r>
    </w:p>
    <w:p>
      <w:pPr>
        <w:pStyle w:val="2"/>
        <w:spacing w:line="600" w:lineRule="exact"/>
        <w:ind w:firstLine="640" w:firstLineChars="200"/>
        <w:rPr>
          <w:rFonts w:hint="default"/>
          <w:color w:val="auto"/>
          <w:sz w:val="32"/>
          <w:szCs w:val="32"/>
        </w:rPr>
      </w:pPr>
      <w:r>
        <w:rPr>
          <w:color w:val="auto"/>
          <w:sz w:val="32"/>
          <w:szCs w:val="32"/>
        </w:rPr>
        <w:t>9.社会保障和就业支出（类）行政事业单位养老支出（款）机关事业单位职业年金缴费支出（项）：</w:t>
      </w:r>
      <w:r>
        <w:rPr>
          <w:sz w:val="32"/>
          <w:szCs w:val="32"/>
        </w:rPr>
        <w:t>指反映</w:t>
      </w:r>
      <w:r>
        <w:rPr>
          <w:rFonts w:cs="仿宋_GB2312"/>
          <w:color w:val="auto"/>
          <w:kern w:val="2"/>
          <w:sz w:val="32"/>
          <w:szCs w:val="32"/>
        </w:rPr>
        <w:t>机关事业单位实施养老保险制度由单位实际缴纳的职业年金支出。</w:t>
      </w:r>
    </w:p>
    <w:p>
      <w:pPr>
        <w:pStyle w:val="2"/>
        <w:spacing w:line="600" w:lineRule="exact"/>
        <w:ind w:firstLine="640" w:firstLineChars="200"/>
        <w:rPr>
          <w:rFonts w:hint="default"/>
          <w:color w:val="auto"/>
          <w:sz w:val="32"/>
          <w:szCs w:val="32"/>
        </w:rPr>
      </w:pPr>
      <w:r>
        <w:rPr>
          <w:color w:val="auto"/>
          <w:sz w:val="32"/>
          <w:szCs w:val="32"/>
        </w:rPr>
        <w:t>10.城乡社区支出（类）国有土地使用权出让收入安排的支出（款）农村社会事业支出（项）：指反映土地出让收入用于农村教育、农村文化和精神文明建设等方面的支出。</w:t>
      </w:r>
    </w:p>
    <w:p>
      <w:pPr>
        <w:spacing w:line="520" w:lineRule="exact"/>
        <w:ind w:firstLine="640" w:firstLineChars="200"/>
        <w:rPr>
          <w:rFonts w:ascii="仿宋_GB2312" w:hAnsi="仿宋_GB2312" w:eastAsia="仿宋_GB2312" w:cs="仿宋_GB2312"/>
          <w:sz w:val="32"/>
          <w:szCs w:val="32"/>
        </w:rPr>
      </w:pPr>
      <w:r>
        <w:rPr>
          <w:rFonts w:hint="eastAsia"/>
          <w:sz w:val="32"/>
          <w:szCs w:val="32"/>
        </w:rPr>
        <w:t>11</w:t>
      </w:r>
      <w:r>
        <w:rPr>
          <w:rFonts w:hint="eastAsia" w:ascii="仿宋_GB2312" w:hAnsi="仿宋_GB2312" w:eastAsia="仿宋_GB2312" w:cs="仿宋_GB2312"/>
          <w:sz w:val="32"/>
          <w:szCs w:val="32"/>
        </w:rPr>
        <w:t>.科学技术支出（类）其他科学技术支出（款）其他科学技术支出（项）：指反映其他科学技术支出中除科学技术管理事务、基础研究、应用研究等以上各项外用于科技方面的支出。</w:t>
      </w:r>
    </w:p>
    <w:p>
      <w:pPr>
        <w:pStyle w:val="14"/>
        <w:spacing w:line="520" w:lineRule="exact"/>
        <w:ind w:firstLine="420" w:firstLineChars="200"/>
        <w:rPr>
          <w:rFonts w:ascii="黑体" w:hAnsi="黑体" w:eastAsia="黑体" w:cs="黑体"/>
          <w:bCs/>
          <w:kern w:val="2"/>
          <w:sz w:val="32"/>
          <w:szCs w:val="32"/>
        </w:rPr>
      </w:pPr>
      <w:r>
        <w:t xml:space="preserve">   </w:t>
      </w:r>
      <w:r>
        <w:rPr>
          <w:rFonts w:ascii="黑体" w:hAnsi="黑体" w:eastAsia="黑体" w:cs="黑体"/>
          <w:bCs/>
          <w:kern w:val="2"/>
          <w:sz w:val="32"/>
          <w:szCs w:val="32"/>
        </w:rPr>
        <w:t>四、2024年温岭市青少年宫单位预算表</w:t>
      </w:r>
    </w:p>
    <w:p/>
    <w:sectPr>
      <w:headerReference r:id="rId3" w:type="default"/>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k4OTZhOTMyZDJmNWY4MmJmYmUwNDNkMTIzNzEwZjQifQ=="/>
  </w:docVars>
  <w:rsids>
    <w:rsidRoot w:val="0018453C"/>
    <w:rsid w:val="000238CF"/>
    <w:rsid w:val="00037FBA"/>
    <w:rsid w:val="00084C3B"/>
    <w:rsid w:val="000F6704"/>
    <w:rsid w:val="0014553D"/>
    <w:rsid w:val="001471DF"/>
    <w:rsid w:val="00151805"/>
    <w:rsid w:val="0018453C"/>
    <w:rsid w:val="001C6D6F"/>
    <w:rsid w:val="001D7273"/>
    <w:rsid w:val="001F186B"/>
    <w:rsid w:val="00232DF5"/>
    <w:rsid w:val="002447F8"/>
    <w:rsid w:val="00247343"/>
    <w:rsid w:val="0025199F"/>
    <w:rsid w:val="00262BFB"/>
    <w:rsid w:val="002E190E"/>
    <w:rsid w:val="00312421"/>
    <w:rsid w:val="0034320B"/>
    <w:rsid w:val="0035041B"/>
    <w:rsid w:val="00352D79"/>
    <w:rsid w:val="003533AA"/>
    <w:rsid w:val="00372A55"/>
    <w:rsid w:val="003A54FF"/>
    <w:rsid w:val="003E68CE"/>
    <w:rsid w:val="00433030"/>
    <w:rsid w:val="004C1A7E"/>
    <w:rsid w:val="004E07B6"/>
    <w:rsid w:val="004F65D0"/>
    <w:rsid w:val="004F6D96"/>
    <w:rsid w:val="0054517F"/>
    <w:rsid w:val="0055355B"/>
    <w:rsid w:val="005539A0"/>
    <w:rsid w:val="0056135F"/>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364B6"/>
    <w:rsid w:val="00755A48"/>
    <w:rsid w:val="007715EF"/>
    <w:rsid w:val="007A0C65"/>
    <w:rsid w:val="007B431F"/>
    <w:rsid w:val="007D24B2"/>
    <w:rsid w:val="007E4CC3"/>
    <w:rsid w:val="00801E01"/>
    <w:rsid w:val="00823268"/>
    <w:rsid w:val="00834DDF"/>
    <w:rsid w:val="00850DC9"/>
    <w:rsid w:val="008660E1"/>
    <w:rsid w:val="00867F9C"/>
    <w:rsid w:val="0089440C"/>
    <w:rsid w:val="00937AE8"/>
    <w:rsid w:val="009415A1"/>
    <w:rsid w:val="009427F2"/>
    <w:rsid w:val="00961F6F"/>
    <w:rsid w:val="00976506"/>
    <w:rsid w:val="009A7459"/>
    <w:rsid w:val="009B71E7"/>
    <w:rsid w:val="00A1300E"/>
    <w:rsid w:val="00A76362"/>
    <w:rsid w:val="00A86842"/>
    <w:rsid w:val="00AA316F"/>
    <w:rsid w:val="00AB2741"/>
    <w:rsid w:val="00B109C2"/>
    <w:rsid w:val="00B85FDA"/>
    <w:rsid w:val="00BA6311"/>
    <w:rsid w:val="00C27663"/>
    <w:rsid w:val="00C35F38"/>
    <w:rsid w:val="00C35FDD"/>
    <w:rsid w:val="00C47BB8"/>
    <w:rsid w:val="00C50353"/>
    <w:rsid w:val="00C52D1F"/>
    <w:rsid w:val="00CC1B9F"/>
    <w:rsid w:val="00CE3F52"/>
    <w:rsid w:val="00D648E8"/>
    <w:rsid w:val="00D72168"/>
    <w:rsid w:val="00D7617F"/>
    <w:rsid w:val="00D81B35"/>
    <w:rsid w:val="00D919D4"/>
    <w:rsid w:val="00DA6F5B"/>
    <w:rsid w:val="00DA7F84"/>
    <w:rsid w:val="00E16F71"/>
    <w:rsid w:val="00E20FB4"/>
    <w:rsid w:val="00E40834"/>
    <w:rsid w:val="00E429D8"/>
    <w:rsid w:val="00E44C58"/>
    <w:rsid w:val="00E61E40"/>
    <w:rsid w:val="00E704C0"/>
    <w:rsid w:val="00E925CD"/>
    <w:rsid w:val="00E95C9E"/>
    <w:rsid w:val="00EB0EAA"/>
    <w:rsid w:val="00ED0384"/>
    <w:rsid w:val="00F23B56"/>
    <w:rsid w:val="00F56A05"/>
    <w:rsid w:val="00F7116F"/>
    <w:rsid w:val="00FB2CFF"/>
    <w:rsid w:val="00FE559F"/>
    <w:rsid w:val="00FF443E"/>
    <w:rsid w:val="01405C62"/>
    <w:rsid w:val="01F263DB"/>
    <w:rsid w:val="01F36FCC"/>
    <w:rsid w:val="01F648EB"/>
    <w:rsid w:val="024C6702"/>
    <w:rsid w:val="026505B4"/>
    <w:rsid w:val="02663C42"/>
    <w:rsid w:val="028630A1"/>
    <w:rsid w:val="02F05C02"/>
    <w:rsid w:val="02FD4879"/>
    <w:rsid w:val="03321D76"/>
    <w:rsid w:val="038247D1"/>
    <w:rsid w:val="038C7FF1"/>
    <w:rsid w:val="03AA3E3B"/>
    <w:rsid w:val="03E72B61"/>
    <w:rsid w:val="03EA5C50"/>
    <w:rsid w:val="04600135"/>
    <w:rsid w:val="05054F3D"/>
    <w:rsid w:val="05445D91"/>
    <w:rsid w:val="05F46152"/>
    <w:rsid w:val="05F835B0"/>
    <w:rsid w:val="06113422"/>
    <w:rsid w:val="063B27DE"/>
    <w:rsid w:val="065E25EC"/>
    <w:rsid w:val="06835E42"/>
    <w:rsid w:val="06BA630B"/>
    <w:rsid w:val="07487AC1"/>
    <w:rsid w:val="07623DA7"/>
    <w:rsid w:val="081119C7"/>
    <w:rsid w:val="088E5CA1"/>
    <w:rsid w:val="08D613F6"/>
    <w:rsid w:val="08DE4DFD"/>
    <w:rsid w:val="09E87633"/>
    <w:rsid w:val="0A1D1E06"/>
    <w:rsid w:val="0A4C7CCD"/>
    <w:rsid w:val="0B486D9D"/>
    <w:rsid w:val="0B4F52A1"/>
    <w:rsid w:val="0B652DFD"/>
    <w:rsid w:val="0B654246"/>
    <w:rsid w:val="0BD448F3"/>
    <w:rsid w:val="0C7B7749"/>
    <w:rsid w:val="0CE2397A"/>
    <w:rsid w:val="0CEE5818"/>
    <w:rsid w:val="0DC07438"/>
    <w:rsid w:val="0DDF3EA9"/>
    <w:rsid w:val="0F0A0BC6"/>
    <w:rsid w:val="0F216C64"/>
    <w:rsid w:val="0F3E23E2"/>
    <w:rsid w:val="0F451083"/>
    <w:rsid w:val="0F4946D0"/>
    <w:rsid w:val="0F5C4EB1"/>
    <w:rsid w:val="0F760C96"/>
    <w:rsid w:val="0F8B51E9"/>
    <w:rsid w:val="106B2554"/>
    <w:rsid w:val="1085571C"/>
    <w:rsid w:val="110C00AB"/>
    <w:rsid w:val="11BF6ECB"/>
    <w:rsid w:val="123478B9"/>
    <w:rsid w:val="125C155C"/>
    <w:rsid w:val="12902616"/>
    <w:rsid w:val="12970A77"/>
    <w:rsid w:val="12D22C2E"/>
    <w:rsid w:val="12D300E7"/>
    <w:rsid w:val="13054DB2"/>
    <w:rsid w:val="136B79EF"/>
    <w:rsid w:val="13811EEE"/>
    <w:rsid w:val="13FF3975"/>
    <w:rsid w:val="14661880"/>
    <w:rsid w:val="14861683"/>
    <w:rsid w:val="14887B46"/>
    <w:rsid w:val="14B7657F"/>
    <w:rsid w:val="14EF3497"/>
    <w:rsid w:val="153C45B3"/>
    <w:rsid w:val="157947AC"/>
    <w:rsid w:val="15DB09EF"/>
    <w:rsid w:val="16337E88"/>
    <w:rsid w:val="1650535C"/>
    <w:rsid w:val="16866209"/>
    <w:rsid w:val="16B75B8F"/>
    <w:rsid w:val="16ED6288"/>
    <w:rsid w:val="16FE1938"/>
    <w:rsid w:val="170C3948"/>
    <w:rsid w:val="17EC7FC1"/>
    <w:rsid w:val="17F81734"/>
    <w:rsid w:val="180061CB"/>
    <w:rsid w:val="18154C5A"/>
    <w:rsid w:val="18EF380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432C32"/>
    <w:rsid w:val="1E621D9B"/>
    <w:rsid w:val="1E9448CB"/>
    <w:rsid w:val="1E945AB3"/>
    <w:rsid w:val="1EFB5835"/>
    <w:rsid w:val="1F8A1433"/>
    <w:rsid w:val="1FD94E57"/>
    <w:rsid w:val="205247F6"/>
    <w:rsid w:val="206501BF"/>
    <w:rsid w:val="20C21B5F"/>
    <w:rsid w:val="20D8491F"/>
    <w:rsid w:val="2163103A"/>
    <w:rsid w:val="217D79B3"/>
    <w:rsid w:val="219B3B12"/>
    <w:rsid w:val="21E6673E"/>
    <w:rsid w:val="21F8300E"/>
    <w:rsid w:val="22D4227E"/>
    <w:rsid w:val="22FA27EC"/>
    <w:rsid w:val="230477A4"/>
    <w:rsid w:val="234550B7"/>
    <w:rsid w:val="23580F2E"/>
    <w:rsid w:val="2384696C"/>
    <w:rsid w:val="23B968AE"/>
    <w:rsid w:val="240772FF"/>
    <w:rsid w:val="24183DF0"/>
    <w:rsid w:val="243B4AD7"/>
    <w:rsid w:val="247778DD"/>
    <w:rsid w:val="247A77A8"/>
    <w:rsid w:val="24D6630F"/>
    <w:rsid w:val="24F84929"/>
    <w:rsid w:val="252A0A7B"/>
    <w:rsid w:val="257B506C"/>
    <w:rsid w:val="25AF42DB"/>
    <w:rsid w:val="25B348BA"/>
    <w:rsid w:val="25DE1005"/>
    <w:rsid w:val="25FD2566"/>
    <w:rsid w:val="26816946"/>
    <w:rsid w:val="26DB7398"/>
    <w:rsid w:val="27033FBD"/>
    <w:rsid w:val="2705728B"/>
    <w:rsid w:val="27417BF8"/>
    <w:rsid w:val="27693B45"/>
    <w:rsid w:val="283A129B"/>
    <w:rsid w:val="283F446A"/>
    <w:rsid w:val="28593D41"/>
    <w:rsid w:val="286345FC"/>
    <w:rsid w:val="28FE78EF"/>
    <w:rsid w:val="29672817"/>
    <w:rsid w:val="29954B63"/>
    <w:rsid w:val="29A41943"/>
    <w:rsid w:val="29B831E7"/>
    <w:rsid w:val="29DF16A7"/>
    <w:rsid w:val="29F74F67"/>
    <w:rsid w:val="2A092F82"/>
    <w:rsid w:val="2A484907"/>
    <w:rsid w:val="2A6308E4"/>
    <w:rsid w:val="2B755902"/>
    <w:rsid w:val="2BA81833"/>
    <w:rsid w:val="2BAC3F70"/>
    <w:rsid w:val="2BB02AB9"/>
    <w:rsid w:val="2C56166B"/>
    <w:rsid w:val="2C772798"/>
    <w:rsid w:val="2CE33635"/>
    <w:rsid w:val="2D1C2FCC"/>
    <w:rsid w:val="2D391980"/>
    <w:rsid w:val="2D7C6F9A"/>
    <w:rsid w:val="2ED263DE"/>
    <w:rsid w:val="2F312BD6"/>
    <w:rsid w:val="2F4F315F"/>
    <w:rsid w:val="2F5260FE"/>
    <w:rsid w:val="2F78760A"/>
    <w:rsid w:val="2FD951A4"/>
    <w:rsid w:val="30705B08"/>
    <w:rsid w:val="30780EC9"/>
    <w:rsid w:val="31305298"/>
    <w:rsid w:val="31651329"/>
    <w:rsid w:val="31A33CBC"/>
    <w:rsid w:val="31C46552"/>
    <w:rsid w:val="31EC7268"/>
    <w:rsid w:val="32691E0F"/>
    <w:rsid w:val="33722AF4"/>
    <w:rsid w:val="339F6CDD"/>
    <w:rsid w:val="344952F9"/>
    <w:rsid w:val="34F20284"/>
    <w:rsid w:val="3529097C"/>
    <w:rsid w:val="3619346A"/>
    <w:rsid w:val="366152C5"/>
    <w:rsid w:val="36E7289C"/>
    <w:rsid w:val="37DD34EA"/>
    <w:rsid w:val="3859649B"/>
    <w:rsid w:val="386D2696"/>
    <w:rsid w:val="38CA384A"/>
    <w:rsid w:val="39227B1B"/>
    <w:rsid w:val="39406911"/>
    <w:rsid w:val="39850296"/>
    <w:rsid w:val="39C26750"/>
    <w:rsid w:val="3A2160C5"/>
    <w:rsid w:val="3A7F1D43"/>
    <w:rsid w:val="3A8D223E"/>
    <w:rsid w:val="3AAE7BD3"/>
    <w:rsid w:val="3B291386"/>
    <w:rsid w:val="3B563038"/>
    <w:rsid w:val="3B7A306D"/>
    <w:rsid w:val="3B80307E"/>
    <w:rsid w:val="3BCA7BD7"/>
    <w:rsid w:val="3C6C37E2"/>
    <w:rsid w:val="3C7D1C3F"/>
    <w:rsid w:val="3CB0609F"/>
    <w:rsid w:val="3CEA3E5A"/>
    <w:rsid w:val="3CFD6A0C"/>
    <w:rsid w:val="3DDA1E4D"/>
    <w:rsid w:val="400943B7"/>
    <w:rsid w:val="40143523"/>
    <w:rsid w:val="4047615A"/>
    <w:rsid w:val="406B2735"/>
    <w:rsid w:val="41544FAF"/>
    <w:rsid w:val="4171469C"/>
    <w:rsid w:val="41BC4CE4"/>
    <w:rsid w:val="42C454C8"/>
    <w:rsid w:val="43482ADF"/>
    <w:rsid w:val="43497E11"/>
    <w:rsid w:val="438C52D1"/>
    <w:rsid w:val="43AF1DC7"/>
    <w:rsid w:val="442360D8"/>
    <w:rsid w:val="445552E9"/>
    <w:rsid w:val="44D206E8"/>
    <w:rsid w:val="450B3104"/>
    <w:rsid w:val="45374F70"/>
    <w:rsid w:val="4550160D"/>
    <w:rsid w:val="457345FE"/>
    <w:rsid w:val="45A32D85"/>
    <w:rsid w:val="45E00BE3"/>
    <w:rsid w:val="45E922E2"/>
    <w:rsid w:val="46181B9F"/>
    <w:rsid w:val="46B73DB3"/>
    <w:rsid w:val="46B85A12"/>
    <w:rsid w:val="46C20ABF"/>
    <w:rsid w:val="471C5409"/>
    <w:rsid w:val="475E76EE"/>
    <w:rsid w:val="47B54AE2"/>
    <w:rsid w:val="484652C3"/>
    <w:rsid w:val="489E735B"/>
    <w:rsid w:val="48EF215B"/>
    <w:rsid w:val="48FD1AAC"/>
    <w:rsid w:val="49155047"/>
    <w:rsid w:val="49547ADE"/>
    <w:rsid w:val="499358EA"/>
    <w:rsid w:val="49A70025"/>
    <w:rsid w:val="4A9518DB"/>
    <w:rsid w:val="4AB935E6"/>
    <w:rsid w:val="4B1F601E"/>
    <w:rsid w:val="4B3F3D7D"/>
    <w:rsid w:val="4B65339C"/>
    <w:rsid w:val="4BD642F8"/>
    <w:rsid w:val="4BE2220E"/>
    <w:rsid w:val="4C8D43DB"/>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1236A"/>
    <w:rsid w:val="56CD4B4D"/>
    <w:rsid w:val="57044ED0"/>
    <w:rsid w:val="575C7815"/>
    <w:rsid w:val="5798381B"/>
    <w:rsid w:val="57D4447A"/>
    <w:rsid w:val="57F759F2"/>
    <w:rsid w:val="585447AE"/>
    <w:rsid w:val="58AF736D"/>
    <w:rsid w:val="58EC4DE1"/>
    <w:rsid w:val="59011144"/>
    <w:rsid w:val="596B72CE"/>
    <w:rsid w:val="59B3494A"/>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968F0"/>
    <w:rsid w:val="619E6355"/>
    <w:rsid w:val="61AB4343"/>
    <w:rsid w:val="61BD64DA"/>
    <w:rsid w:val="61DE2022"/>
    <w:rsid w:val="6215384D"/>
    <w:rsid w:val="623E51B7"/>
    <w:rsid w:val="623E6288"/>
    <w:rsid w:val="627460EE"/>
    <w:rsid w:val="62AC06BC"/>
    <w:rsid w:val="63181564"/>
    <w:rsid w:val="633B4987"/>
    <w:rsid w:val="63525D55"/>
    <w:rsid w:val="63F321C7"/>
    <w:rsid w:val="64C20A08"/>
    <w:rsid w:val="64F06443"/>
    <w:rsid w:val="65737FB9"/>
    <w:rsid w:val="65DF5ECF"/>
    <w:rsid w:val="661D7FD4"/>
    <w:rsid w:val="665A45AE"/>
    <w:rsid w:val="669C06FE"/>
    <w:rsid w:val="66A662C4"/>
    <w:rsid w:val="66DE2D4E"/>
    <w:rsid w:val="67222B8A"/>
    <w:rsid w:val="679D182D"/>
    <w:rsid w:val="67BB6396"/>
    <w:rsid w:val="68794E30"/>
    <w:rsid w:val="687B5327"/>
    <w:rsid w:val="688621C1"/>
    <w:rsid w:val="68C15BDE"/>
    <w:rsid w:val="69F60125"/>
    <w:rsid w:val="6A383046"/>
    <w:rsid w:val="6AD23ACD"/>
    <w:rsid w:val="6AE706B2"/>
    <w:rsid w:val="6B103823"/>
    <w:rsid w:val="6B315A81"/>
    <w:rsid w:val="6BFF7765"/>
    <w:rsid w:val="6C3F4637"/>
    <w:rsid w:val="6C9D07C7"/>
    <w:rsid w:val="6CB426A8"/>
    <w:rsid w:val="6D3835CD"/>
    <w:rsid w:val="6D9B59D3"/>
    <w:rsid w:val="6DDF18A8"/>
    <w:rsid w:val="6DE22E9A"/>
    <w:rsid w:val="6E7742D5"/>
    <w:rsid w:val="6E947A29"/>
    <w:rsid w:val="6EFB1E55"/>
    <w:rsid w:val="701E0D35"/>
    <w:rsid w:val="708C2BAE"/>
    <w:rsid w:val="717A54B6"/>
    <w:rsid w:val="717E112C"/>
    <w:rsid w:val="71C42003"/>
    <w:rsid w:val="71CD3E62"/>
    <w:rsid w:val="71E47115"/>
    <w:rsid w:val="72124418"/>
    <w:rsid w:val="72BF52A3"/>
    <w:rsid w:val="72C963D7"/>
    <w:rsid w:val="73520170"/>
    <w:rsid w:val="73AD7AA7"/>
    <w:rsid w:val="73B32D5B"/>
    <w:rsid w:val="741E320F"/>
    <w:rsid w:val="74906E74"/>
    <w:rsid w:val="74D2633E"/>
    <w:rsid w:val="75127B2A"/>
    <w:rsid w:val="756B70AB"/>
    <w:rsid w:val="762D45E7"/>
    <w:rsid w:val="76432C97"/>
    <w:rsid w:val="76472E5B"/>
    <w:rsid w:val="76622032"/>
    <w:rsid w:val="76DA2B8D"/>
    <w:rsid w:val="770420D4"/>
    <w:rsid w:val="773F1B2E"/>
    <w:rsid w:val="77550B81"/>
    <w:rsid w:val="776141C0"/>
    <w:rsid w:val="77E71EE7"/>
    <w:rsid w:val="78403651"/>
    <w:rsid w:val="784051C1"/>
    <w:rsid w:val="784F737E"/>
    <w:rsid w:val="789E16E5"/>
    <w:rsid w:val="78DB40C6"/>
    <w:rsid w:val="78DE0702"/>
    <w:rsid w:val="7954401D"/>
    <w:rsid w:val="79547EF1"/>
    <w:rsid w:val="798961F5"/>
    <w:rsid w:val="79A24C96"/>
    <w:rsid w:val="79A33E26"/>
    <w:rsid w:val="7AC02D1F"/>
    <w:rsid w:val="7AE80A7B"/>
    <w:rsid w:val="7AE861A8"/>
    <w:rsid w:val="7B452E9A"/>
    <w:rsid w:val="7B5E14E4"/>
    <w:rsid w:val="7B741965"/>
    <w:rsid w:val="7BA93249"/>
    <w:rsid w:val="7BBF78B4"/>
    <w:rsid w:val="7BCD4E47"/>
    <w:rsid w:val="7BFE30BC"/>
    <w:rsid w:val="7C014E34"/>
    <w:rsid w:val="7C0A7BF1"/>
    <w:rsid w:val="7CD24C07"/>
    <w:rsid w:val="7CDD0037"/>
    <w:rsid w:val="7D2C5AF6"/>
    <w:rsid w:val="7D8F4D87"/>
    <w:rsid w:val="7DBB66FE"/>
    <w:rsid w:val="7DBE27C1"/>
    <w:rsid w:val="7DCA5F0F"/>
    <w:rsid w:val="7E1F736F"/>
    <w:rsid w:val="7E300305"/>
    <w:rsid w:val="7E6B2A38"/>
    <w:rsid w:val="7E7D74C3"/>
    <w:rsid w:val="7F346A78"/>
    <w:rsid w:val="7F663D79"/>
    <w:rsid w:val="7F8042C1"/>
    <w:rsid w:val="7FA57776"/>
    <w:rsid w:val="7FC2506D"/>
    <w:rsid w:val="F78D3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xc</Company>
  <Pages>11</Pages>
  <Words>728</Words>
  <Characters>4150</Characters>
  <Lines>34</Lines>
  <Paragraphs>9</Paragraphs>
  <TotalTime>214</TotalTime>
  <ScaleCrop>false</ScaleCrop>
  <LinksUpToDate>false</LinksUpToDate>
  <CharactersWithSpaces>4869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2020-01-06T16:45:00Z</dcterms:created>
  <dc:creator>dsx</dc:creator>
  <cp:lastModifiedBy>wlcz</cp:lastModifiedBy>
  <cp:lastPrinted>2024-03-15T11:38:00Z</cp:lastPrinted>
  <dcterms:modified xsi:type="dcterms:W3CDTF">2024-03-21T16:10:02Z</dcterms:modified>
  <dc:title>关于2019年部门预算的批复</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EDOID">
    <vt:r8>5838458</vt:r8>
  </property>
  <property fmtid="{D5CDD505-2E9C-101B-9397-08002B2CF9AE}" pid="4" name="ICV">
    <vt:lpwstr>E7E435903E954F16B3A6550F30CE4D1E</vt:lpwstr>
  </property>
</Properties>
</file>