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9510" w:type="dxa"/>
            <w:tcBorders>
              <w:top w:val="nil"/>
              <w:left w:val="nil"/>
              <w:bottom w:val="nil"/>
              <w:right w:val="nil"/>
            </w:tcBorders>
          </w:tcPr>
          <w:p>
            <w:pPr>
              <w:pStyle w:val="6"/>
              <w:spacing w:line="550" w:lineRule="exact"/>
              <w:rPr>
                <w:rFonts w:hint="eastAsia" w:ascii="仿宋" w:hAnsi="仿宋" w:eastAsia="仿宋" w:cs="仿宋"/>
                <w:b/>
                <w:bCs/>
                <w:color w:val="FF0000"/>
                <w:sz w:val="22"/>
                <w:szCs w:val="22"/>
              </w:rPr>
            </w:pPr>
            <w:bookmarkStart w:id="39" w:name="_GoBack"/>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jc w:val="center"/>
        </w:trPr>
        <w:tc>
          <w:tcPr>
            <w:tcW w:w="9510"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sz w:val="72"/>
                <w:szCs w:val="72"/>
                <w:lang w:val="en-US" w:eastAsia="zh-CN"/>
              </w:rPr>
            </w:pPr>
            <w:r>
              <w:rPr>
                <w:sz w:val="72"/>
              </w:rPr>
              <w:t>温州市本级2023年单位预算</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sz w:val="72"/>
                <w:szCs w:val="72"/>
                <w:lang w:val="en-US" w:eastAsia="zh-CN"/>
              </w:rPr>
            </w:pPr>
            <w:r>
              <w:rPr>
                <w:rFonts w:hint="eastAsia"/>
                <w:sz w:val="72"/>
                <w:szCs w:val="72"/>
                <w:lang w:val="en-US" w:eastAsia="zh-CN"/>
              </w:rPr>
              <w:t>温州市妇女儿童活动中心</w:t>
            </w:r>
          </w:p>
          <w:p>
            <w:pPr>
              <w:pStyle w:val="2"/>
              <w:jc w:val="both"/>
            </w:pPr>
          </w:p>
        </w:tc>
      </w:tr>
    </w:tbl>
    <w:p>
      <w:pPr>
        <w:jc w:val="center"/>
        <w:rPr>
          <w:rFonts w:hint="eastAsia" w:ascii="黑体" w:hAnsi="黑体" w:eastAsia="黑体" w:cs="黑体"/>
          <w:sz w:val="32"/>
          <w:szCs w:val="32"/>
        </w:rPr>
        <w:sectPr>
          <w:footerReference r:id="rId4" w:type="default"/>
          <w:pgSz w:w="11906" w:h="16838"/>
          <w:pgMar w:top="1440" w:right="1803" w:bottom="1440" w:left="1803" w:header="851" w:footer="992" w:gutter="0"/>
          <w:pgNumType w:fmt="numberInDash"/>
          <w:cols w:space="0" w:num="1"/>
          <w:docGrid w:type="lines" w:linePitch="319" w:charSpace="0"/>
        </w:sectPr>
      </w:pPr>
    </w:p>
    <w:p>
      <w:pPr>
        <w:jc w:val="center"/>
        <w:rPr>
          <w:rFonts w:ascii="楷体" w:hAnsi="楷体" w:eastAsia="楷体" w:cs="楷体"/>
          <w:sz w:val="30"/>
          <w:szCs w:val="30"/>
        </w:rPr>
      </w:pPr>
      <w:r>
        <w:rPr>
          <w:rFonts w:hint="eastAsia" w:ascii="黑体" w:hAnsi="黑体" w:eastAsia="黑体" w:cs="黑体"/>
          <w:sz w:val="32"/>
          <w:szCs w:val="32"/>
        </w:rPr>
        <w:t>目录</w:t>
      </w:r>
    </w:p>
    <w:p>
      <w:pPr>
        <w:pStyle w:val="10"/>
        <w:tabs>
          <w:tab w:val="right" w:leader="dot" w:pos="8180"/>
        </w:tabs>
        <w:jc w:val="left"/>
        <w:rPr>
          <w:rStyle w:val="16"/>
          <w:rFonts w:hint="eastAsia" w:ascii="黑体" w:hAnsi="黑体" w:eastAsia="黑体" w:cs="黑体"/>
          <w:b w:val="0"/>
          <w:bCs w:val="0"/>
          <w:color w:val="000000"/>
          <w:sz w:val="32"/>
          <w:szCs w:val="32"/>
          <w:lang w:val="en-US" w:eastAsia="zh-CN" w:bidi="ar-SA"/>
        </w:rPr>
      </w:pPr>
      <w:r>
        <w:rPr>
          <w:rFonts w:hint="eastAsia" w:ascii="楷体" w:hAnsi="楷体" w:eastAsia="楷体" w:cs="楷体"/>
          <w:b w:val="0"/>
          <w:bCs w:val="0"/>
          <w:sz w:val="30"/>
          <w:szCs w:val="30"/>
        </w:rPr>
        <w:fldChar w:fldCharType="begin"/>
      </w:r>
      <w:r>
        <w:rPr>
          <w:rFonts w:hint="eastAsia" w:ascii="楷体" w:hAnsi="楷体" w:eastAsia="楷体" w:cs="楷体"/>
          <w:b w:val="0"/>
          <w:bCs w:val="0"/>
          <w:sz w:val="30"/>
          <w:szCs w:val="30"/>
        </w:rPr>
        <w:instrText xml:space="preserve">TOC \o "1-2" \h \u </w:instrText>
      </w:r>
      <w:r>
        <w:rPr>
          <w:rFonts w:hint="eastAsia" w:ascii="楷体" w:hAnsi="楷体" w:eastAsia="楷体" w:cs="楷体"/>
          <w:b w:val="0"/>
          <w:bCs w:val="0"/>
          <w:sz w:val="30"/>
          <w:szCs w:val="30"/>
        </w:rPr>
        <w:fldChar w:fldCharType="separate"/>
      </w:r>
      <w:r>
        <w:rPr>
          <w:rStyle w:val="16"/>
          <w:rFonts w:hint="eastAsia" w:ascii="黑体" w:hAnsi="黑体" w:eastAsia="黑体" w:cs="黑体"/>
          <w:b w:val="0"/>
          <w:bCs w:val="0"/>
          <w:color w:val="000000"/>
          <w:sz w:val="32"/>
          <w:szCs w:val="32"/>
          <w:lang w:val="en-US" w:eastAsia="zh-CN" w:bidi="ar-SA"/>
        </w:rPr>
        <w:fldChar w:fldCharType="begin"/>
      </w:r>
      <w:r>
        <w:rPr>
          <w:rStyle w:val="16"/>
          <w:rFonts w:hint="eastAsia" w:ascii="黑体" w:hAnsi="黑体" w:eastAsia="黑体" w:cs="黑体"/>
          <w:b w:val="0"/>
          <w:bCs w:val="0"/>
          <w:color w:val="000000"/>
          <w:sz w:val="32"/>
          <w:szCs w:val="32"/>
          <w:lang w:val="en-US" w:eastAsia="zh-CN" w:bidi="ar-SA"/>
        </w:rPr>
        <w:instrText xml:space="preserve"> HYPERLINK \l _Toc22549 </w:instrText>
      </w:r>
      <w:r>
        <w:rPr>
          <w:rStyle w:val="16"/>
          <w:rFonts w:hint="eastAsia" w:ascii="黑体" w:hAnsi="黑体" w:eastAsia="黑体" w:cs="黑体"/>
          <w:b w:val="0"/>
          <w:bCs w:val="0"/>
          <w:color w:val="000000"/>
          <w:sz w:val="32"/>
          <w:szCs w:val="32"/>
          <w:lang w:val="en-US" w:eastAsia="zh-CN" w:bidi="ar-SA"/>
        </w:rPr>
        <w:fldChar w:fldCharType="separate"/>
      </w:r>
      <w:r>
        <w:rPr>
          <w:rStyle w:val="16"/>
          <w:rFonts w:hint="eastAsia" w:ascii="黑体" w:hAnsi="黑体" w:eastAsia="黑体" w:cs="黑体"/>
          <w:b w:val="0"/>
          <w:bCs w:val="0"/>
          <w:color w:val="000000"/>
          <w:sz w:val="32"/>
          <w:szCs w:val="32"/>
          <w:lang w:val="en-US" w:eastAsia="zh-CN" w:bidi="ar-SA"/>
        </w:rPr>
        <w:t>一、</w:t>
      </w:r>
      <w:r>
        <w:rPr>
          <w:rStyle w:val="16"/>
          <w:rFonts w:ascii="黑体" w:hAnsi="黑体" w:eastAsia="黑体" w:cs="黑体"/>
          <w:color w:val="000000"/>
          <w:sz w:val="32"/>
        </w:rPr>
        <w:t>单位概况</w:t>
      </w:r>
      <w:r>
        <w:rPr>
          <w:rStyle w:val="16"/>
          <w:rFonts w:hint="eastAsia" w:ascii="黑体" w:hAnsi="黑体" w:eastAsia="黑体" w:cs="黑体"/>
          <w:b w:val="0"/>
          <w:bCs w:val="0"/>
          <w:color w:val="000000"/>
          <w:sz w:val="32"/>
          <w:szCs w:val="32"/>
          <w:lang w:val="en-US" w:eastAsia="zh-CN" w:bidi="ar-SA"/>
        </w:rPr>
        <w:tab/>
      </w:r>
      <w:r>
        <w:rPr>
          <w:rFonts w:hint="eastAsia" w:ascii="黑体" w:hAnsi="黑体" w:eastAsia="黑体" w:cs="黑体"/>
          <w:b w:val="0"/>
          <w:bCs w:val="0"/>
          <w:sz w:val="32"/>
          <w:szCs w:val="32"/>
          <w:lang w:val="en-US" w:eastAsia="zh-CN"/>
        </w:rPr>
        <w:t>3</w:t>
      </w:r>
      <w:r>
        <w:rPr>
          <w:rStyle w:val="16"/>
          <w:rFonts w:hint="eastAsia" w:ascii="黑体" w:hAnsi="黑体" w:eastAsia="黑体" w:cs="黑体"/>
          <w:b w:val="0"/>
          <w:bCs w:val="0"/>
          <w:color w:val="000000"/>
          <w:sz w:val="32"/>
          <w:szCs w:val="32"/>
          <w:lang w:val="en-US" w:eastAsia="zh-CN" w:bidi="ar-SA"/>
        </w:rPr>
        <w:fldChar w:fldCharType="end"/>
      </w:r>
    </w:p>
    <w:p>
      <w:pPr>
        <w:pStyle w:val="57"/>
        <w:tabs>
          <w:tab w:val="right" w:leader="dot" w:pos="8180"/>
        </w:tabs>
        <w:ind w:left="420"/>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fldChar w:fldCharType="begin"/>
      </w:r>
      <w:r>
        <w:rPr>
          <w:rFonts w:hint="eastAsia" w:ascii="楷体" w:hAnsi="楷体" w:eastAsia="楷体" w:cs="楷体"/>
          <w:b w:val="0"/>
          <w:bCs w:val="0"/>
          <w:sz w:val="30"/>
          <w:szCs w:val="30"/>
          <w:lang w:val="en-US" w:eastAsia="zh-CN"/>
        </w:rPr>
        <w:instrText xml:space="preserve"> HYPERLINK \l _Toc14256 </w:instrText>
      </w:r>
      <w:r>
        <w:rPr>
          <w:rFonts w:hint="eastAsia" w:ascii="楷体" w:hAnsi="楷体" w:eastAsia="楷体" w:cs="楷体"/>
          <w:b w:val="0"/>
          <w:bCs w:val="0"/>
          <w:sz w:val="30"/>
          <w:szCs w:val="30"/>
          <w:lang w:val="en-US" w:eastAsia="zh-CN"/>
        </w:rPr>
        <w:fldChar w:fldCharType="separate"/>
      </w:r>
      <w:r>
        <w:rPr>
          <w:rStyle w:val="16"/>
          <w:rFonts w:hint="eastAsia" w:ascii="楷体" w:hAnsi="楷体" w:eastAsia="楷体" w:cs="楷体"/>
          <w:b w:val="0"/>
          <w:bCs w:val="0"/>
          <w:sz w:val="30"/>
          <w:szCs w:val="30"/>
          <w:lang w:val="en-US" w:eastAsia="zh-CN"/>
        </w:rPr>
        <w:t>（一）主要职能</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3</w:t>
      </w:r>
      <w:r>
        <w:rPr>
          <w:rFonts w:hint="eastAsia" w:ascii="楷体" w:hAnsi="楷体" w:eastAsia="楷体" w:cs="楷体"/>
          <w:b w:val="0"/>
          <w:bCs w:val="0"/>
          <w:sz w:val="30"/>
          <w:szCs w:val="30"/>
          <w:lang w:val="en-US" w:eastAsia="zh-CN"/>
        </w:rPr>
        <w:fldChar w:fldCharType="end"/>
      </w:r>
    </w:p>
    <w:p>
      <w:pPr>
        <w:pStyle w:val="57"/>
        <w:tabs>
          <w:tab w:val="right" w:leader="dot" w:pos="8180"/>
        </w:tabs>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fldChar w:fldCharType="begin"/>
      </w:r>
      <w:r>
        <w:rPr>
          <w:rFonts w:hint="eastAsia" w:ascii="楷体" w:hAnsi="楷体" w:eastAsia="楷体" w:cs="楷体"/>
          <w:b w:val="0"/>
          <w:bCs w:val="0"/>
          <w:sz w:val="30"/>
          <w:szCs w:val="30"/>
          <w:lang w:val="en-US" w:eastAsia="zh-CN"/>
        </w:rPr>
        <w:instrText xml:space="preserve"> HYPERLINK \l _Toc14256 </w:instrText>
      </w:r>
      <w:r>
        <w:rPr>
          <w:rFonts w:hint="eastAsia" w:ascii="楷体" w:hAnsi="楷体" w:eastAsia="楷体" w:cs="楷体"/>
          <w:b w:val="0"/>
          <w:bCs w:val="0"/>
          <w:sz w:val="30"/>
          <w:szCs w:val="30"/>
          <w:lang w:val="en-US" w:eastAsia="zh-CN"/>
        </w:rPr>
        <w:fldChar w:fldCharType="separate"/>
      </w:r>
      <w:r>
        <w:rPr>
          <w:rStyle w:val="59"/>
          <w:rFonts w:hint="eastAsia" w:ascii="楷体" w:hAnsi="楷体" w:eastAsia="楷体" w:cs="楷体"/>
          <w:sz w:val="30"/>
          <w:szCs w:val="30"/>
          <w:lang w:val="en-US" w:eastAsia="zh-CN"/>
        </w:rPr>
        <w:t>（二）</w:t>
      </w:r>
      <w:r>
        <w:rPr>
          <w:rStyle w:val="59"/>
          <w:rFonts w:ascii="楷体" w:hAnsi="楷体" w:eastAsia="楷体" w:cs="楷体"/>
          <w:sz w:val="30"/>
        </w:rPr>
        <w:t>单位机构设置情况</w:t>
      </w:r>
      <w:r>
        <w:rPr>
          <w:rStyle w:val="59"/>
          <w:rFonts w:hint="eastAsia" w:ascii="楷体" w:hAnsi="楷体" w:eastAsia="楷体" w:cs="楷体"/>
          <w:sz w:val="30"/>
          <w:szCs w:val="30"/>
          <w:lang w:val="en-US" w:eastAsia="zh-CN"/>
        </w:rPr>
        <w:tab/>
      </w:r>
      <w:r>
        <w:rPr>
          <w:rStyle w:val="59"/>
          <w:rFonts w:hint="eastAsia" w:ascii="楷体" w:hAnsi="楷体" w:eastAsia="楷体" w:cs="楷体"/>
          <w:b w:val="0"/>
          <w:bCs w:val="0"/>
          <w:sz w:val="30"/>
          <w:szCs w:val="30"/>
          <w:lang w:val="en-US" w:eastAsia="zh-CN"/>
        </w:rPr>
        <w:t>3</w:t>
      </w:r>
      <w:r>
        <w:rPr>
          <w:rFonts w:hint="eastAsia" w:ascii="楷体" w:hAnsi="楷体" w:eastAsia="楷体" w:cs="楷体"/>
          <w:b w:val="0"/>
          <w:bCs w:val="0"/>
          <w:sz w:val="30"/>
          <w:szCs w:val="30"/>
          <w:lang w:val="en-US" w:eastAsia="zh-CN"/>
        </w:rPr>
        <w:fldChar w:fldCharType="end"/>
      </w:r>
    </w:p>
    <w:p>
      <w:pPr>
        <w:pStyle w:val="10"/>
        <w:tabs>
          <w:tab w:val="right" w:leader="dot" w:pos="8180"/>
        </w:tabs>
        <w:jc w:val="left"/>
        <w:rPr>
          <w:rStyle w:val="16"/>
          <w:rFonts w:hint="eastAsia" w:ascii="黑体" w:hAnsi="黑体" w:eastAsia="黑体" w:cs="黑体"/>
          <w:b w:val="0"/>
          <w:bCs w:val="0"/>
          <w:color w:val="000000"/>
          <w:sz w:val="32"/>
          <w:szCs w:val="32"/>
          <w:lang w:val="en-US" w:eastAsia="zh-CN" w:bidi="ar-SA"/>
        </w:rPr>
      </w:pPr>
      <w:r>
        <w:rPr>
          <w:rStyle w:val="16"/>
          <w:rFonts w:hint="eastAsia" w:ascii="黑体" w:hAnsi="黑体" w:eastAsia="黑体" w:cs="黑体"/>
          <w:b w:val="0"/>
          <w:bCs w:val="0"/>
          <w:color w:val="000000"/>
          <w:sz w:val="32"/>
          <w:szCs w:val="32"/>
          <w:lang w:val="en-US" w:eastAsia="zh-CN" w:bidi="ar-SA"/>
        </w:rPr>
        <w:fldChar w:fldCharType="begin"/>
      </w:r>
      <w:r>
        <w:rPr>
          <w:rStyle w:val="16"/>
          <w:rFonts w:hint="eastAsia" w:ascii="黑体" w:hAnsi="黑体" w:eastAsia="黑体" w:cs="黑体"/>
          <w:b w:val="0"/>
          <w:bCs w:val="0"/>
          <w:color w:val="000000"/>
          <w:sz w:val="32"/>
          <w:szCs w:val="32"/>
          <w:lang w:val="en-US" w:eastAsia="zh-CN" w:bidi="ar-SA"/>
        </w:rPr>
        <w:instrText xml:space="preserve"> HYPERLINK \l _Toc13054 </w:instrText>
      </w:r>
      <w:r>
        <w:rPr>
          <w:rStyle w:val="16"/>
          <w:rFonts w:hint="eastAsia" w:ascii="黑体" w:hAnsi="黑体" w:eastAsia="黑体" w:cs="黑体"/>
          <w:b w:val="0"/>
          <w:bCs w:val="0"/>
          <w:color w:val="000000"/>
          <w:sz w:val="32"/>
          <w:szCs w:val="32"/>
          <w:lang w:val="en-US" w:eastAsia="zh-CN" w:bidi="ar-SA"/>
        </w:rPr>
        <w:fldChar w:fldCharType="separate"/>
      </w:r>
      <w:r>
        <w:rPr>
          <w:rStyle w:val="16"/>
          <w:rFonts w:hint="eastAsia" w:ascii="黑体" w:hAnsi="黑体" w:eastAsia="黑体" w:cs="黑体"/>
          <w:b w:val="0"/>
          <w:bCs w:val="0"/>
          <w:color w:val="000000"/>
          <w:sz w:val="32"/>
          <w:szCs w:val="32"/>
          <w:lang w:val="en-US" w:eastAsia="zh-CN" w:bidi="ar-SA"/>
        </w:rPr>
        <w:t xml:space="preserve">二、 </w:t>
      </w:r>
      <w:r>
        <w:rPr>
          <w:rStyle w:val="16"/>
          <w:rFonts w:ascii="黑体" w:hAnsi="黑体" w:eastAsia="黑体" w:cs="黑体"/>
          <w:color w:val="000000"/>
          <w:sz w:val="32"/>
        </w:rPr>
        <w:t>2023年单位预算安排情况说明</w:t>
      </w:r>
      <w:r>
        <w:rPr>
          <w:rStyle w:val="16"/>
          <w:rFonts w:hint="eastAsia" w:ascii="黑体" w:hAnsi="黑体" w:eastAsia="黑体" w:cs="黑体"/>
          <w:b w:val="0"/>
          <w:bCs w:val="0"/>
          <w:color w:val="000000"/>
          <w:sz w:val="32"/>
          <w:szCs w:val="32"/>
          <w:lang w:val="en-US" w:eastAsia="zh-CN" w:bidi="ar-SA"/>
        </w:rPr>
        <w:tab/>
      </w:r>
      <w:r>
        <w:rPr>
          <w:rFonts w:hint="eastAsia" w:ascii="黑体" w:hAnsi="黑体" w:eastAsia="黑体" w:cs="黑体"/>
          <w:b w:val="0"/>
          <w:bCs w:val="0"/>
          <w:sz w:val="32"/>
          <w:szCs w:val="32"/>
          <w:lang w:val="en-US" w:eastAsia="zh-CN"/>
        </w:rPr>
        <w:t>3</w:t>
      </w:r>
      <w:r>
        <w:rPr>
          <w:rStyle w:val="16"/>
          <w:rFonts w:hint="eastAsia" w:ascii="黑体" w:hAnsi="黑体" w:eastAsia="黑体" w:cs="黑体"/>
          <w:b w:val="0"/>
          <w:bCs w:val="0"/>
          <w:color w:val="000000"/>
          <w:sz w:val="32"/>
          <w:szCs w:val="32"/>
          <w:lang w:val="en-US" w:eastAsia="zh-CN" w:bidi="ar-SA"/>
        </w:rPr>
        <w:fldChar w:fldCharType="end"/>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_Toc5121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（一）收支预算情况的总体说明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3</w:t>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_Toc20215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（二）收入预算情况说明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3</w:t>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_Toc15568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（三）支出预算情况说明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3</w:t>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_Toc21189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（四）财政拨款收支预算情况的总体说明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4</w:t>
      </w:r>
    </w:p>
    <w:p>
      <w:pPr>
        <w:pStyle w:val="57"/>
        <w:tabs>
          <w:tab w:val="right" w:leader="dot" w:pos="8180"/>
        </w:tabs>
        <w:ind w:left="420"/>
        <w:rPr>
          <w:rFonts w:hint="eastAsia" w:ascii="楷体" w:hAnsi="楷体" w:eastAsia="楷体" w:cs="楷体"/>
          <w:b w:val="0"/>
          <w:bCs w:val="0"/>
          <w:sz w:val="30"/>
          <w:szCs w:val="30"/>
          <w:lang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_Toc32602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（五）一般公共预算当年拨款情况说明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4</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_Toc18285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（六）一般公共预算基本支出情况说明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5</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_Toc31278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（七）政府性基金预算支出情况说明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6</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_Toc9136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（八）国有资本经营预算支出情况说明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6</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_Toc31177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（九）一般公共预算“三公”经费预算情况说明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6</w:t>
      </w:r>
    </w:p>
    <w:p>
      <w:pPr>
        <w:pStyle w:val="57"/>
        <w:tabs>
          <w:tab w:val="right" w:leader="dot" w:pos="8180"/>
        </w:tabs>
        <w:ind w:left="420"/>
        <w:rPr>
          <w:rFonts w:hint="default"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fldChar w:fldCharType="begin"/>
      </w:r>
      <w:r>
        <w:rPr>
          <w:rFonts w:hint="eastAsia" w:ascii="楷体" w:hAnsi="楷体" w:eastAsia="楷体" w:cs="楷体"/>
          <w:b w:val="0"/>
          <w:bCs w:val="0"/>
          <w:sz w:val="30"/>
          <w:szCs w:val="30"/>
          <w:lang w:eastAsia="zh-CN"/>
        </w:rPr>
        <w:instrText xml:space="preserve"> HYPERLINK \l _Toc30671 </w:instrText>
      </w:r>
      <w:r>
        <w:rPr>
          <w:rFonts w:hint="eastAsia" w:ascii="楷体" w:hAnsi="楷体" w:eastAsia="楷体" w:cs="楷体"/>
          <w:b w:val="0"/>
          <w:bCs w:val="0"/>
          <w:sz w:val="30"/>
          <w:szCs w:val="30"/>
          <w:lang w:eastAsia="zh-CN"/>
        </w:rPr>
        <w:fldChar w:fldCharType="separate"/>
      </w:r>
      <w:r>
        <w:rPr>
          <w:rFonts w:hint="eastAsia" w:ascii="楷体" w:hAnsi="楷体" w:eastAsia="楷体" w:cs="楷体"/>
          <w:b w:val="0"/>
          <w:bCs w:val="0"/>
          <w:sz w:val="30"/>
          <w:szCs w:val="30"/>
          <w:lang w:eastAsia="zh-CN"/>
        </w:rPr>
        <w:t>（十）其他重要事项的情况说明</w:t>
      </w:r>
      <w:r>
        <w:rPr>
          <w:rFonts w:hint="eastAsia" w:ascii="楷体" w:hAnsi="楷体" w:eastAsia="楷体" w:cs="楷体"/>
          <w:b w:val="0"/>
          <w:bCs w:val="0"/>
          <w:sz w:val="30"/>
          <w:szCs w:val="30"/>
          <w:lang w:eastAsia="zh-CN"/>
        </w:rPr>
        <w:fldChar w:fldCharType="end"/>
      </w:r>
      <w:r>
        <w:rPr>
          <w:rFonts w:hint="eastAsia" w:ascii="楷体" w:hAnsi="楷体" w:eastAsia="楷体" w:cs="楷体"/>
          <w:b w:val="0"/>
          <w:bCs w:val="0"/>
          <w:sz w:val="30"/>
          <w:szCs w:val="30"/>
          <w:lang w:eastAsia="zh-CN"/>
        </w:rPr>
        <w:tab/>
      </w:r>
      <w:r>
        <w:rPr>
          <w:rFonts w:hint="eastAsia" w:ascii="楷体" w:hAnsi="楷体" w:eastAsia="楷体" w:cs="楷体"/>
          <w:b w:val="0"/>
          <w:bCs w:val="0"/>
          <w:sz w:val="30"/>
          <w:szCs w:val="30"/>
          <w:lang w:val="en-US" w:eastAsia="zh-CN"/>
        </w:rPr>
        <w:t>7</w:t>
      </w:r>
    </w:p>
    <w:p>
      <w:pPr>
        <w:pStyle w:val="10"/>
        <w:tabs>
          <w:tab w:val="right" w:leader="dot" w:pos="8180"/>
        </w:tabs>
        <w:jc w:val="left"/>
        <w:rPr>
          <w:rStyle w:val="16"/>
          <w:rFonts w:hint="eastAsia" w:ascii="黑体" w:hAnsi="黑体" w:eastAsia="黑体" w:cs="黑体"/>
          <w:b w:val="0"/>
          <w:bCs w:val="0"/>
          <w:color w:val="000000"/>
          <w:sz w:val="32"/>
          <w:szCs w:val="32"/>
          <w:lang w:val="en-US" w:eastAsia="zh-CN" w:bidi="ar-SA"/>
        </w:rPr>
      </w:pPr>
      <w:r>
        <w:rPr>
          <w:rStyle w:val="16"/>
          <w:rFonts w:hint="eastAsia" w:ascii="黑体" w:hAnsi="黑体" w:eastAsia="黑体" w:cs="黑体"/>
          <w:b w:val="0"/>
          <w:bCs w:val="0"/>
          <w:color w:val="000000"/>
          <w:sz w:val="32"/>
          <w:szCs w:val="32"/>
          <w:lang w:val="en-US" w:eastAsia="zh-CN" w:bidi="ar-SA"/>
        </w:rPr>
        <w:fldChar w:fldCharType="begin"/>
      </w:r>
      <w:r>
        <w:rPr>
          <w:rStyle w:val="16"/>
          <w:rFonts w:hint="eastAsia" w:ascii="黑体" w:hAnsi="黑体" w:eastAsia="黑体" w:cs="黑体"/>
          <w:b w:val="0"/>
          <w:bCs w:val="0"/>
          <w:color w:val="000000"/>
          <w:sz w:val="32"/>
          <w:szCs w:val="32"/>
          <w:lang w:val="en-US" w:eastAsia="zh-CN" w:bidi="ar-SA"/>
        </w:rPr>
        <w:instrText xml:space="preserve"> HYPERLINK \l _Toc3807 </w:instrText>
      </w:r>
      <w:r>
        <w:rPr>
          <w:rStyle w:val="16"/>
          <w:rFonts w:hint="eastAsia" w:ascii="黑体" w:hAnsi="黑体" w:eastAsia="黑体" w:cs="黑体"/>
          <w:b w:val="0"/>
          <w:bCs w:val="0"/>
          <w:color w:val="000000"/>
          <w:sz w:val="32"/>
          <w:szCs w:val="32"/>
          <w:lang w:val="en-US" w:eastAsia="zh-CN" w:bidi="ar-SA"/>
        </w:rPr>
        <w:fldChar w:fldCharType="separate"/>
      </w:r>
      <w:r>
        <w:rPr>
          <w:rStyle w:val="16"/>
          <w:rFonts w:hint="eastAsia" w:ascii="黑体" w:hAnsi="黑体" w:eastAsia="黑体" w:cs="黑体"/>
          <w:b w:val="0"/>
          <w:bCs w:val="0"/>
          <w:color w:val="000000"/>
          <w:sz w:val="32"/>
          <w:szCs w:val="32"/>
          <w:lang w:val="en-US" w:eastAsia="zh-CN" w:bidi="ar-SA"/>
        </w:rPr>
        <w:t>三、名词解释</w:t>
      </w:r>
      <w:r>
        <w:rPr>
          <w:rStyle w:val="16"/>
          <w:rFonts w:hint="eastAsia" w:ascii="黑体" w:hAnsi="黑体" w:eastAsia="黑体" w:cs="黑体"/>
          <w:b w:val="0"/>
          <w:bCs w:val="0"/>
          <w:color w:val="000000"/>
          <w:sz w:val="32"/>
          <w:szCs w:val="32"/>
          <w:lang w:val="en-US" w:eastAsia="zh-CN" w:bidi="ar-SA"/>
        </w:rPr>
        <w:tab/>
      </w:r>
      <w:r>
        <w:rPr>
          <w:rFonts w:hint="eastAsia" w:ascii="黑体" w:hAnsi="黑体" w:eastAsia="黑体" w:cs="黑体"/>
          <w:b w:val="0"/>
          <w:bCs w:val="0"/>
          <w:sz w:val="32"/>
          <w:szCs w:val="32"/>
          <w:lang w:val="en-US" w:eastAsia="zh-CN"/>
        </w:rPr>
        <w:t>8</w:t>
      </w:r>
      <w:r>
        <w:rPr>
          <w:rStyle w:val="16"/>
          <w:rFonts w:hint="eastAsia" w:ascii="黑体" w:hAnsi="黑体" w:eastAsia="黑体" w:cs="黑体"/>
          <w:b w:val="0"/>
          <w:bCs w:val="0"/>
          <w:color w:val="000000"/>
          <w:sz w:val="32"/>
          <w:szCs w:val="32"/>
          <w:lang w:val="en-US" w:eastAsia="zh-CN" w:bidi="ar-SA"/>
        </w:rPr>
        <w:fldChar w:fldCharType="end"/>
      </w:r>
    </w:p>
    <w:p>
      <w:pPr>
        <w:pStyle w:val="10"/>
        <w:keepNext w:val="0"/>
        <w:keepLines w:val="0"/>
        <w:pageBreakBefore w:val="0"/>
        <w:widowControl w:val="0"/>
        <w:tabs>
          <w:tab w:val="right" w:leader="dot" w:pos="8180"/>
        </w:tabs>
        <w:kinsoku/>
        <w:wordWrap/>
        <w:overflowPunct/>
        <w:topLinePunct w:val="0"/>
        <w:autoSpaceDE/>
        <w:autoSpaceDN w:val="0"/>
        <w:bidi w:val="0"/>
        <w:adjustRightInd/>
        <w:snapToGrid/>
        <w:jc w:val="left"/>
        <w:textAlignment w:val="auto"/>
        <w:rPr>
          <w:rStyle w:val="16"/>
          <w:rFonts w:hint="eastAsia" w:ascii="黑体" w:hAnsi="黑体" w:eastAsia="黑体" w:cs="黑体"/>
          <w:b w:val="0"/>
          <w:bCs w:val="0"/>
          <w:color w:val="000000"/>
          <w:sz w:val="32"/>
          <w:szCs w:val="32"/>
          <w:lang w:val="en-US" w:eastAsia="zh-CN" w:bidi="ar-SA"/>
        </w:rPr>
      </w:pPr>
      <w:r>
        <w:rPr>
          <w:rStyle w:val="16"/>
          <w:rFonts w:hint="eastAsia" w:ascii="黑体" w:hAnsi="黑体" w:eastAsia="黑体" w:cs="黑体"/>
          <w:b w:val="0"/>
          <w:bCs w:val="0"/>
          <w:color w:val="000000"/>
          <w:sz w:val="32"/>
          <w:szCs w:val="32"/>
          <w:lang w:val="en-US" w:eastAsia="zh-CN" w:bidi="ar-SA"/>
        </w:rPr>
        <w:fldChar w:fldCharType="begin"/>
      </w:r>
      <w:r>
        <w:rPr>
          <w:rStyle w:val="16"/>
          <w:rFonts w:hint="eastAsia" w:ascii="黑体" w:hAnsi="黑体" w:eastAsia="黑体" w:cs="黑体"/>
          <w:b w:val="0"/>
          <w:bCs w:val="0"/>
          <w:color w:val="000000"/>
          <w:sz w:val="32"/>
          <w:szCs w:val="32"/>
          <w:lang w:val="en-US" w:eastAsia="zh-CN" w:bidi="ar-SA"/>
        </w:rPr>
        <w:instrText xml:space="preserve"> HYPERLINK \l _Toc12518 </w:instrText>
      </w:r>
      <w:r>
        <w:rPr>
          <w:rStyle w:val="16"/>
          <w:rFonts w:hint="eastAsia" w:ascii="黑体" w:hAnsi="黑体" w:eastAsia="黑体" w:cs="黑体"/>
          <w:b w:val="0"/>
          <w:bCs w:val="0"/>
          <w:color w:val="000000"/>
          <w:sz w:val="32"/>
          <w:szCs w:val="32"/>
          <w:lang w:val="en-US" w:eastAsia="zh-CN" w:bidi="ar-SA"/>
        </w:rPr>
        <w:fldChar w:fldCharType="separate"/>
      </w:r>
      <w:r>
        <w:rPr>
          <w:rStyle w:val="16"/>
          <w:rFonts w:hint="eastAsia" w:ascii="黑体" w:hAnsi="黑体" w:eastAsia="黑体" w:cs="黑体"/>
          <w:b w:val="0"/>
          <w:bCs w:val="0"/>
          <w:color w:val="000000"/>
          <w:sz w:val="32"/>
          <w:szCs w:val="32"/>
          <w:lang w:val="en-US" w:eastAsia="zh-CN" w:bidi="ar-SA"/>
        </w:rPr>
        <w:t>四、</w:t>
      </w:r>
      <w:r>
        <w:rPr>
          <w:rStyle w:val="16"/>
          <w:rFonts w:ascii="黑体" w:hAnsi="黑体" w:eastAsia="黑体" w:cs="黑体"/>
          <w:color w:val="000000"/>
          <w:sz w:val="32"/>
        </w:rPr>
        <w:t>2023年单位预算公开表</w:t>
      </w:r>
      <w:r>
        <w:rPr>
          <w:rStyle w:val="16"/>
          <w:rFonts w:hint="eastAsia" w:ascii="黑体" w:hAnsi="黑体" w:eastAsia="黑体" w:cs="黑体"/>
          <w:b w:val="0"/>
          <w:bCs w:val="0"/>
          <w:color w:val="000000"/>
          <w:sz w:val="32"/>
          <w:szCs w:val="32"/>
          <w:lang w:val="en-US" w:eastAsia="zh-CN" w:bidi="ar-SA"/>
        </w:rPr>
        <w:tab/>
      </w:r>
      <w:r>
        <w:rPr>
          <w:rFonts w:hint="eastAsia" w:ascii="黑体" w:hAnsi="黑体" w:eastAsia="黑体" w:cs="黑体"/>
          <w:b w:val="0"/>
          <w:bCs w:val="0"/>
          <w:sz w:val="32"/>
          <w:szCs w:val="32"/>
          <w:lang w:val="en-US" w:eastAsia="zh-CN"/>
        </w:rPr>
        <w:t>11</w:t>
      </w:r>
      <w:r>
        <w:rPr>
          <w:rStyle w:val="16"/>
          <w:rFonts w:hint="eastAsia" w:ascii="黑体" w:hAnsi="黑体" w:eastAsia="黑体" w:cs="黑体"/>
          <w:b w:val="0"/>
          <w:bCs w:val="0"/>
          <w:color w:val="000000"/>
          <w:sz w:val="32"/>
          <w:szCs w:val="32"/>
          <w:lang w:val="en-US" w:eastAsia="zh-CN" w:bidi="ar-SA"/>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（一）</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_Toc3544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收支预算总表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11</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59"/>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二）</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_Toc28635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收入预算总表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12</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三</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_Toc22904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支出预算总表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13</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四</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_Toc16162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财政拨款收支预算总表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14</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五</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_Toc29270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一般公共预算支出表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15</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六</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_Toc2322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一般公共预算基本支出表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16</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七</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_Toc23813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一般公共预算"三公"经费支出表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17</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八</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_Toc23849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政府性基金预算支出表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18</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九</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_Toc23415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国有资本经营预算支出表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19</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十</w:t>
      </w:r>
      <w:r>
        <w:rPr>
          <w:rStyle w:val="60"/>
          <w:rFonts w:hint="eastAsia" w:ascii="楷体" w:hAnsi="楷体" w:eastAsia="楷体" w:cs="楷体"/>
          <w:sz w:val="30"/>
          <w:szCs w:val="30"/>
          <w:lang w:eastAsia="zh-CN"/>
        </w:rPr>
        <w:t>）</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_Toc19535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项目支出预算表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20</w:t>
      </w:r>
      <w:r>
        <w:rPr>
          <w:rStyle w:val="16"/>
          <w:rFonts w:hint="eastAsia" w:ascii="楷体" w:hAnsi="楷体" w:eastAsia="楷体" w:cs="楷体"/>
          <w:b w:val="0"/>
          <w:bCs w:val="0"/>
          <w:sz w:val="30"/>
          <w:szCs w:val="30"/>
          <w:lang w:val="en-US" w:eastAsia="zh-CN"/>
        </w:rPr>
        <w:fldChar w:fldCharType="end"/>
      </w:r>
    </w:p>
    <w:p>
      <w:pPr>
        <w:pStyle w:val="57"/>
        <w:tabs>
          <w:tab w:val="right" w:leader="dot" w:pos="8180"/>
        </w:tabs>
        <w:ind w:left="420"/>
        <w:rPr>
          <w:rStyle w:val="16"/>
          <w:rFonts w:hint="eastAsia" w:ascii="楷体" w:hAnsi="楷体" w:eastAsia="楷体" w:cs="楷体"/>
          <w:b w:val="0"/>
          <w:bCs w:val="0"/>
          <w:sz w:val="30"/>
          <w:szCs w:val="30"/>
          <w:lang w:val="en-US" w:eastAsia="zh-CN"/>
        </w:rPr>
      </w:pPr>
      <w:r>
        <w:rPr>
          <w:rStyle w:val="60"/>
          <w:rFonts w:hint="eastAsia" w:ascii="楷体" w:hAnsi="楷体" w:eastAsia="楷体" w:cs="楷体"/>
          <w:sz w:val="30"/>
          <w:szCs w:val="30"/>
          <w:lang w:eastAsia="zh-CN"/>
        </w:rPr>
        <w:t>（</w:t>
      </w:r>
      <w:r>
        <w:rPr>
          <w:rStyle w:val="60"/>
          <w:rFonts w:hint="eastAsia" w:ascii="楷体" w:hAnsi="楷体" w:eastAsia="楷体" w:cs="楷体"/>
          <w:sz w:val="30"/>
          <w:szCs w:val="30"/>
          <w:lang w:val="en-US" w:eastAsia="zh-CN"/>
        </w:rPr>
        <w:t>十</w:t>
      </w:r>
      <w:r>
        <w:rPr>
          <w:rStyle w:val="60"/>
          <w:rFonts w:hint="eastAsia" w:ascii="楷体" w:hAnsi="楷体" w:eastAsia="楷体" w:cs="楷体"/>
          <w:sz w:val="30"/>
          <w:szCs w:val="30"/>
          <w:lang w:eastAsia="zh-CN"/>
        </w:rPr>
        <w:t>一）</w:t>
      </w:r>
      <w:r>
        <w:rPr>
          <w:rStyle w:val="16"/>
          <w:rFonts w:hint="eastAsia" w:ascii="楷体" w:hAnsi="楷体" w:eastAsia="楷体" w:cs="楷体"/>
          <w:b w:val="0"/>
          <w:bCs w:val="0"/>
          <w:sz w:val="30"/>
          <w:szCs w:val="30"/>
          <w:lang w:val="en-US" w:eastAsia="zh-CN"/>
        </w:rPr>
        <w:fldChar w:fldCharType="begin"/>
      </w:r>
      <w:r>
        <w:rPr>
          <w:rStyle w:val="16"/>
          <w:rFonts w:hint="eastAsia" w:ascii="楷体" w:hAnsi="楷体" w:eastAsia="楷体" w:cs="楷体"/>
          <w:b w:val="0"/>
          <w:bCs w:val="0"/>
          <w:sz w:val="30"/>
          <w:szCs w:val="30"/>
          <w:lang w:val="en-US" w:eastAsia="zh-CN"/>
        </w:rPr>
        <w:instrText xml:space="preserve"> HYPERLINK \l _Toc16042 </w:instrText>
      </w:r>
      <w:r>
        <w:rPr>
          <w:rStyle w:val="16"/>
          <w:rFonts w:hint="eastAsia" w:ascii="楷体" w:hAnsi="楷体" w:eastAsia="楷体" w:cs="楷体"/>
          <w:b w:val="0"/>
          <w:bCs w:val="0"/>
          <w:sz w:val="30"/>
          <w:szCs w:val="30"/>
          <w:lang w:val="en-US" w:eastAsia="zh-CN"/>
        </w:rPr>
        <w:fldChar w:fldCharType="separate"/>
      </w:r>
      <w:r>
        <w:rPr>
          <w:rStyle w:val="60"/>
          <w:rFonts w:hint="eastAsia" w:ascii="楷体" w:hAnsi="楷体" w:eastAsia="楷体" w:cs="楷体"/>
          <w:sz w:val="30"/>
          <w:szCs w:val="30"/>
          <w:lang w:val="en-US" w:eastAsia="zh-CN"/>
        </w:rPr>
        <w:t>单位</w:t>
      </w:r>
      <w:r>
        <w:rPr>
          <w:rStyle w:val="60"/>
          <w:rFonts w:ascii="楷体" w:hAnsi="楷体" w:eastAsia="楷体" w:cs="楷体"/>
          <w:sz w:val="30"/>
        </w:rPr>
        <w:t>项目支出预算绩效目标表</w:t>
      </w:r>
      <w:r>
        <w:rPr>
          <w:rStyle w:val="16"/>
          <w:rFonts w:hint="eastAsia" w:ascii="楷体" w:hAnsi="楷体" w:eastAsia="楷体" w:cs="楷体"/>
          <w:b w:val="0"/>
          <w:bCs w:val="0"/>
          <w:sz w:val="30"/>
          <w:szCs w:val="30"/>
          <w:lang w:val="en-US" w:eastAsia="zh-CN"/>
        </w:rPr>
        <w:tab/>
      </w:r>
      <w:r>
        <w:rPr>
          <w:rStyle w:val="59"/>
          <w:rFonts w:hint="eastAsia" w:ascii="楷体" w:hAnsi="楷体" w:eastAsia="楷体" w:cs="楷体"/>
          <w:b w:val="0"/>
          <w:bCs w:val="0"/>
          <w:sz w:val="30"/>
          <w:szCs w:val="30"/>
          <w:lang w:val="en-US" w:eastAsia="zh-CN"/>
        </w:rPr>
        <w:t>21</w:t>
      </w:r>
      <w:r>
        <w:rPr>
          <w:rStyle w:val="16"/>
          <w:rFonts w:hint="eastAsia" w:ascii="楷体" w:hAnsi="楷体" w:eastAsia="楷体" w:cs="楷体"/>
          <w:b w:val="0"/>
          <w:bCs w:val="0"/>
          <w:sz w:val="30"/>
          <w:szCs w:val="30"/>
          <w:lang w:val="en-US" w:eastAsia="zh-CN"/>
        </w:rPr>
        <w:fldChar w:fldCharType="end"/>
      </w:r>
    </w:p>
    <w:p>
      <w:pPr>
        <w:pStyle w:val="57"/>
        <w:tabs>
          <w:tab w:val="right" w:leader="dot" w:pos="8306"/>
        </w:tabs>
        <w:ind w:left="0" w:leftChars="0" w:firstLine="0" w:firstLineChars="0"/>
        <w:rPr>
          <w:rFonts w:hint="default" w:ascii="黑体" w:hAnsi="黑体" w:eastAsia="黑体" w:cs="黑体"/>
          <w:b w:val="0"/>
          <w:bCs w:val="0"/>
          <w:kern w:val="2"/>
          <w:sz w:val="24"/>
          <w:szCs w:val="24"/>
          <w:lang w:val="en-US" w:eastAsia="zh-CN" w:bidi="ar-SA"/>
        </w:rPr>
      </w:pPr>
      <w:r>
        <w:rPr>
          <w:rFonts w:hint="eastAsia" w:ascii="楷体" w:hAnsi="楷体" w:eastAsia="楷体" w:cs="楷体"/>
          <w:b w:val="0"/>
          <w:bCs w:val="0"/>
          <w:szCs w:val="30"/>
        </w:rPr>
        <w:fldChar w:fldCharType="end"/>
      </w:r>
    </w:p>
    <w:p>
      <w:pPr>
        <w:pStyle w:val="57"/>
        <w:tabs>
          <w:tab w:val="right" w:leader="dot" w:pos="8306"/>
        </w:tabs>
        <w:ind w:left="420"/>
        <w:rPr>
          <w:rFonts w:hint="default" w:ascii="黑体" w:hAnsi="黑体" w:eastAsia="黑体" w:cs="黑体"/>
          <w:b w:val="0"/>
          <w:bCs w:val="0"/>
          <w:kern w:val="2"/>
          <w:sz w:val="24"/>
          <w:szCs w:val="24"/>
          <w:lang w:val="en-US" w:eastAsia="zh-CN" w:bidi="ar-SA"/>
        </w:rPr>
        <w:sectPr>
          <w:footerReference r:id="rId5" w:type="default"/>
          <w:pgSz w:w="11906" w:h="16838"/>
          <w:pgMar w:top="1440" w:right="1803" w:bottom="1440" w:left="1803" w:header="851" w:footer="992" w:gutter="0"/>
          <w:pgNumType w:fmt="decimal" w:start="1"/>
          <w:cols w:space="0" w:num="1"/>
          <w:docGrid w:type="lines" w:linePitch="319" w:charSpace="0"/>
        </w:sectPr>
      </w:pPr>
    </w:p>
    <w:p>
      <w:pPr>
        <w:pStyle w:val="3"/>
        <w:adjustRightInd w:val="0"/>
        <w:snapToGrid w:val="0"/>
        <w:spacing w:before="0" w:after="0"/>
        <w:ind w:firstLine="640"/>
        <w:rPr>
          <w:b w:val="0"/>
          <w:bCs/>
        </w:rPr>
      </w:pPr>
      <w:bookmarkStart w:id="0" w:name="_Toc22549"/>
      <w:bookmarkStart w:id="1" w:name="_Toc14818"/>
      <w:bookmarkStart w:id="2" w:name="_Toc23586"/>
      <w:r>
        <w:rPr>
          <w:rFonts w:hint="eastAsia"/>
          <w:b w:val="0"/>
          <w:bCs/>
        </w:rPr>
        <w:t>一、</w:t>
      </w:r>
      <w:r>
        <w:rPr>
          <w:rFonts w:hint="eastAsia"/>
          <w:b w:val="0"/>
          <w:bCs/>
          <w:lang w:eastAsia="zh-CN"/>
        </w:rPr>
        <w:t>单位</w:t>
      </w:r>
      <w:r>
        <w:rPr>
          <w:rFonts w:hint="eastAsia"/>
          <w:b w:val="0"/>
          <w:bCs/>
        </w:rPr>
        <w:t>概况</w:t>
      </w:r>
      <w:bookmarkEnd w:id="0"/>
      <w:bookmarkEnd w:id="1"/>
      <w:bookmarkEnd w:id="2"/>
    </w:p>
    <w:p>
      <w:pPr>
        <w:pStyle w:val="4"/>
        <w:adjustRightInd w:val="0"/>
        <w:snapToGrid w:val="0"/>
        <w:spacing w:before="0" w:after="0"/>
        <w:ind w:firstLine="640"/>
        <w:rPr>
          <w:rFonts w:hint="eastAsia" w:ascii="楷体" w:hAnsi="楷体" w:eastAsia="楷体" w:cs="楷体"/>
          <w:b w:val="0"/>
          <w:bCs/>
          <w:kern w:val="2"/>
        </w:rPr>
      </w:pPr>
      <w:bookmarkStart w:id="3" w:name="_Toc16811"/>
      <w:bookmarkStart w:id="4" w:name="_Toc1378"/>
      <w:bookmarkStart w:id="5" w:name="_Toc14256"/>
      <w:r>
        <w:rPr>
          <w:rFonts w:hint="eastAsia" w:ascii="楷体" w:hAnsi="楷体" w:eastAsia="楷体" w:cs="楷体"/>
          <w:b w:val="0"/>
          <w:bCs/>
          <w:kern w:val="2"/>
        </w:rPr>
        <w:t>（一）主要职能</w:t>
      </w:r>
      <w:bookmarkEnd w:id="3"/>
      <w:bookmarkEnd w:id="4"/>
      <w:bookmarkEnd w:id="5"/>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温州市妇女儿童活动中心为温州市妇女联合会管理的公益一类事业单位，贯彻落实党中央和省市委关于妇女儿童发展工作的方针政策和决策部署，在履行职责过程中坚持和加强党的全面领导。主要职责是：</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1.承担妇女儿童思想道德教育，加强未成年人思想道德建设；</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2.协调社会资源，为妇女儿童提供活动场所，开展女性素质、家庭亲子等各类有益身心健康活动；</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3.为儿童开展思想品德、科技实践、文化艺术、体育劳动等校外素质教育；</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4.为妇女开展文化知识、实用技术、技能培训等；</w:t>
      </w:r>
    </w:p>
    <w:p>
      <w:pPr>
        <w:snapToGrid w:val="0"/>
        <w:spacing w:line="572" w:lineRule="exact"/>
        <w:ind w:firstLine="640" w:firstLineChars="200"/>
        <w:rPr>
          <w:rFonts w:hint="eastAsia" w:ascii="仿宋_GB2312" w:hAnsi="仿宋" w:eastAsia="仿宋_GB2312" w:cs="宋体"/>
          <w:sz w:val="32"/>
          <w:szCs w:val="32"/>
        </w:rPr>
      </w:pPr>
      <w:r>
        <w:rPr>
          <w:rFonts w:hint="eastAsia" w:ascii="仿宋_GB2312" w:hAnsi="仿宋" w:eastAsia="仿宋_GB2312" w:cs="宋体"/>
          <w:sz w:val="32"/>
          <w:szCs w:val="32"/>
        </w:rPr>
        <w:t>5.开展家庭教育指导、实践等综合公益服务；</w:t>
      </w:r>
    </w:p>
    <w:p>
      <w:pPr>
        <w:snapToGrid w:val="0"/>
        <w:spacing w:line="572" w:lineRule="exact"/>
        <w:ind w:firstLine="640" w:firstLineChars="200"/>
        <w:rPr>
          <w:rFonts w:hint="eastAsia"/>
        </w:rPr>
      </w:pPr>
      <w:r>
        <w:rPr>
          <w:rFonts w:hint="eastAsia" w:ascii="仿宋_GB2312" w:hAnsi="仿宋" w:eastAsia="仿宋_GB2312" w:cs="宋体"/>
          <w:sz w:val="32"/>
          <w:szCs w:val="32"/>
        </w:rPr>
        <w:t>6.完成温州市妇女联合会交办的其他任务。</w:t>
      </w:r>
    </w:p>
    <w:p>
      <w:pPr>
        <w:pStyle w:val="4"/>
        <w:adjustRightInd w:val="0"/>
        <w:snapToGrid w:val="0"/>
        <w:spacing w:before="0" w:after="0"/>
        <w:ind w:firstLine="640"/>
        <w:rPr>
          <w:rFonts w:hint="eastAsia" w:ascii="楷体" w:hAnsi="楷体" w:eastAsia="楷体" w:cs="楷体"/>
          <w:b w:val="0"/>
          <w:bCs/>
        </w:rPr>
      </w:pPr>
      <w:bookmarkStart w:id="6" w:name="_Toc26083"/>
      <w:bookmarkStart w:id="7" w:name="_Toc3910"/>
      <w:bookmarkStart w:id="8" w:name="_Toc781"/>
      <w:r>
        <w:rPr>
          <w:rFonts w:hint="eastAsia" w:ascii="楷体" w:hAnsi="楷体" w:eastAsia="楷体" w:cs="楷体"/>
          <w:b w:val="0"/>
          <w:bCs/>
          <w:sz w:val="32"/>
        </w:rPr>
        <w:t>（二）</w:t>
      </w:r>
      <w:r>
        <w:rPr>
          <w:rFonts w:hint="eastAsia" w:ascii="楷体" w:hAnsi="楷体" w:eastAsia="楷体" w:cs="楷体"/>
          <w:b w:val="0"/>
          <w:bCs/>
          <w:sz w:val="32"/>
          <w:lang w:eastAsia="zh-CN"/>
        </w:rPr>
        <w:t>单位</w:t>
      </w:r>
      <w:r>
        <w:rPr>
          <w:rFonts w:hint="eastAsia" w:ascii="楷体" w:hAnsi="楷体" w:eastAsia="楷体" w:cs="楷体"/>
          <w:b w:val="0"/>
          <w:bCs/>
          <w:sz w:val="32"/>
        </w:rPr>
        <w:t>机构设置情况</w:t>
      </w:r>
      <w:bookmarkEnd w:id="6"/>
      <w:bookmarkEnd w:id="7"/>
      <w:bookmarkEnd w:id="8"/>
    </w:p>
    <w:p>
      <w:pPr>
        <w:spacing w:line="520" w:lineRule="exact"/>
        <w:ind w:firstLine="640" w:firstLineChars="200"/>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从预算单位构成看，</w:t>
      </w:r>
      <w:r>
        <w:rPr>
          <w:rFonts w:hint="eastAsia" w:ascii="仿宋_GB2312" w:hAnsi="仿宋_GB2312" w:eastAsia="仿宋_GB2312" w:cs="仿宋_GB2312"/>
          <w:color w:val="000000"/>
          <w:kern w:val="0"/>
          <w:sz w:val="32"/>
          <w:szCs w:val="32"/>
          <w:lang w:eastAsia="zh-CN" w:bidi="ar"/>
        </w:rPr>
        <w:t>温州市妇女儿童活动中心</w:t>
      </w:r>
      <w:r>
        <w:rPr>
          <w:rFonts w:hint="eastAsia" w:ascii="仿宋_GB2312" w:hAnsi="仿宋_GB2312" w:eastAsia="仿宋_GB2312" w:cs="仿宋_GB2312"/>
          <w:bCs/>
          <w:sz w:val="32"/>
          <w:szCs w:val="32"/>
          <w:lang w:eastAsia="zh-CN"/>
        </w:rPr>
        <w:t>单位</w:t>
      </w:r>
      <w:r>
        <w:rPr>
          <w:rFonts w:hint="eastAsia" w:ascii="仿宋_GB2312" w:hAnsi="仿宋_GB2312" w:eastAsia="仿宋_GB2312" w:cs="仿宋_GB2312"/>
          <w:bCs/>
          <w:sz w:val="32"/>
          <w:szCs w:val="32"/>
        </w:rPr>
        <w:t>预算包括：</w:t>
      </w:r>
      <w:r>
        <w:rPr>
          <w:rFonts w:hint="eastAsia" w:ascii="仿宋_GB2312" w:hAnsi="仿宋_GB2312" w:eastAsia="仿宋_GB2312" w:cs="仿宋_GB2312"/>
          <w:color w:val="000000"/>
          <w:kern w:val="0"/>
          <w:sz w:val="32"/>
          <w:szCs w:val="32"/>
          <w:lang w:eastAsia="zh-CN" w:bidi="ar"/>
        </w:rPr>
        <w:t>温州市妇女儿童活动中心单位预算。</w:t>
      </w:r>
    </w:p>
    <w:p>
      <w:pPr>
        <w:numPr>
          <w:ilvl w:val="0"/>
          <w:numId w:val="1"/>
        </w:numPr>
        <w:adjustRightInd w:val="0"/>
        <w:snapToGrid w:val="0"/>
        <w:spacing w:line="520" w:lineRule="exact"/>
        <w:ind w:firstLine="640" w:firstLineChars="200"/>
        <w:outlineLvl w:val="0"/>
        <w:rPr>
          <w:rFonts w:hint="eastAsia" w:ascii="黑体" w:hAnsi="黑体" w:eastAsia="黑体" w:cs="黑体"/>
          <w:b w:val="0"/>
          <w:bCs/>
          <w:kern w:val="44"/>
          <w:sz w:val="32"/>
          <w:lang w:val="en-US" w:eastAsia="zh-CN" w:bidi="ar-SA"/>
        </w:rPr>
      </w:pPr>
      <w:bookmarkStart w:id="9" w:name="_Toc7865"/>
      <w:bookmarkStart w:id="10" w:name="_Toc27824"/>
      <w:bookmarkStart w:id="11" w:name="_Toc13054"/>
      <w:r>
        <w:rPr>
          <w:rFonts w:hint="eastAsia" w:ascii="黑体" w:hAnsi="黑体" w:eastAsia="黑体" w:cs="黑体"/>
          <w:b w:val="0"/>
          <w:bCs/>
          <w:kern w:val="44"/>
          <w:sz w:val="32"/>
          <w:lang w:val="en-US" w:eastAsia="zh-CN" w:bidi="ar-SA"/>
        </w:rPr>
        <w:t>2023</w:t>
      </w:r>
      <w:bookmarkEnd w:id="9"/>
      <w:bookmarkEnd w:id="10"/>
      <w:bookmarkEnd w:id="11"/>
      <w:r>
        <w:rPr>
          <w:rFonts w:ascii="黑体" w:hAnsi="黑体" w:eastAsia="黑体" w:cs="黑体"/>
          <w:sz w:val="32"/>
        </w:rPr>
        <w:t>年单位预算安排情况说明</w:t>
      </w:r>
      <w:r>
        <w:rPr>
          <w:rStyle w:val="25"/>
          <w:rFonts w:hint="eastAsia" w:ascii="黑体" w:hAnsi="黑体" w:eastAsia="黑体" w:cs="黑体"/>
          <w:b w:val="0"/>
          <w:bCs/>
          <w:kern w:val="44"/>
          <w:sz w:val="32"/>
          <w:lang w:val="en-US" w:eastAsia="zh-CN" w:bidi="ar-SA"/>
        </w:rPr>
        <w:footnoteReference w:id="0"/>
      </w:r>
    </w:p>
    <w:p>
      <w:pPr>
        <w:spacing w:line="600" w:lineRule="exact"/>
        <w:ind w:firstLine="640" w:firstLineChars="200"/>
        <w:outlineLvl w:val="1"/>
        <w:rPr>
          <w:rFonts w:hint="eastAsia" w:ascii="仿宋_GB2312" w:eastAsia="仿宋_GB2312"/>
          <w:sz w:val="32"/>
          <w:szCs w:val="32"/>
        </w:rPr>
      </w:pPr>
      <w:bookmarkStart w:id="12" w:name="_Toc11805"/>
      <w:bookmarkStart w:id="13" w:name="_Toc24413"/>
      <w:r>
        <w:rPr>
          <w:rFonts w:hint="eastAsia" w:ascii="楷体" w:hAnsi="楷体" w:eastAsia="楷体" w:cs="楷体"/>
          <w:b w:val="0"/>
          <w:bCs/>
          <w:kern w:val="2"/>
          <w:sz w:val="32"/>
          <w:lang w:val="en-US" w:eastAsia="zh-CN" w:bidi="ar-SA"/>
        </w:rPr>
        <w:t>（一）收支预算情况的总体说明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按照综合预算的原则，温州市妇女儿童活动中心所有收入和支出均纳入单位预算管理。收入包括：一般公共预算、财政专户管理资金；支出包括：一般公共服务支出、社会保障和就业支出、卫生健康支出、住房保障支出。温州市妇女儿童活动中心2023年收支总预算1,775.09万元。</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（二）收入预算情况说明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温州市妇女儿童活动中心2023年收入预算1,775.09万元，比上年执行数增加22.70万元，增长1.3%，主要是</w:t>
      </w:r>
      <w:r>
        <w:rPr>
          <w:rFonts w:hint="eastAsia" w:ascii="仿宋_GB2312" w:hAnsi="仿宋_GB2312" w:eastAsia="仿宋_GB2312" w:cs="仿宋_GB2312"/>
          <w:color w:val="000000"/>
          <w:sz w:val="32"/>
          <w:szCs w:val="32"/>
          <w:highlight w:val="none"/>
          <w:lang w:val="en-US" w:eastAsia="zh-CN"/>
        </w:rPr>
        <w:t>人员增加</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其中：一般公共预算880.59万元，占49.6%；财政专户管理资金894.50万元，占50.4%。</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（三）支出预算情况说明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温州市妇女儿童活动中心2023年支出预算1,775.09万元，比上年执行数增加22.70万元，增长1.3%，主要是</w:t>
      </w:r>
      <w:r>
        <w:rPr>
          <w:rFonts w:hint="eastAsia" w:ascii="仿宋_GB2312" w:hAnsi="仿宋_GB2312" w:eastAsia="仿宋_GB2312" w:cs="仿宋_GB2312"/>
          <w:color w:val="000000"/>
          <w:sz w:val="32"/>
          <w:szCs w:val="32"/>
          <w:highlight w:val="none"/>
          <w:lang w:val="en-US" w:eastAsia="zh-CN"/>
        </w:rPr>
        <w:t>人员增加</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1.按支出功能分类，包括一般公共服务支出1,599.96万元、社会保障和就业支出74.58万元、卫生健康支出35.82万元、住房保障支出64.73万元；</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2.按支出用途分类，包括人员支出668.88万元，占37.7%；日常公用支出62.91万元，占3.5%；项目支出1,043.30万元，占58.8%。</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（四）财政拨款收支预算情况的总体说明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财政拨款收支总预算880.59万元。收入包括：一般公共预算880.59万元；支出包括：一般公共服务支出705.46万元、社会保障和就业支出74.58万元、卫生健康支出35.82万元、住房保障支出64.73万元。</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（五）一般公共预算当年拨款情况说明</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1.一般公共预算当年拨款规模变化情况。</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温州市妇女儿童活动中心2023年一般公共预算当年拨款880.59万元，比上年执行数减少3.55万元，下降0.4%，主要是</w:t>
      </w:r>
      <w:r>
        <w:rPr>
          <w:rFonts w:hint="eastAsia" w:ascii="仿宋_GB2312" w:hAnsi="仿宋" w:eastAsia="仿宋_GB2312" w:cs="宋体"/>
          <w:sz w:val="32"/>
          <w:szCs w:val="32"/>
        </w:rPr>
        <w:t>202</w:t>
      </w:r>
      <w:r>
        <w:rPr>
          <w:rFonts w:hint="eastAsia" w:ascii="仿宋_GB2312" w:hAnsi="仿宋" w:eastAsia="仿宋_GB2312" w:cs="宋体"/>
          <w:sz w:val="32"/>
          <w:szCs w:val="32"/>
          <w:lang w:val="en-US" w:eastAsia="zh-CN"/>
        </w:rPr>
        <w:t>3</w:t>
      </w:r>
      <w:r>
        <w:rPr>
          <w:rFonts w:hint="eastAsia" w:ascii="仿宋_GB2312" w:hAnsi="仿宋" w:eastAsia="仿宋_GB2312" w:cs="宋体"/>
          <w:sz w:val="32"/>
          <w:szCs w:val="32"/>
        </w:rPr>
        <w:t>年</w:t>
      </w:r>
      <w:r>
        <w:rPr>
          <w:rFonts w:hint="eastAsia" w:ascii="仿宋_GB2312" w:hAnsi="仿宋" w:eastAsia="仿宋_GB2312" w:cs="宋体"/>
          <w:sz w:val="32"/>
          <w:szCs w:val="32"/>
          <w:lang w:eastAsia="zh-CN"/>
        </w:rPr>
        <w:t>项目经费中一般公共预算部分减少</w:t>
      </w:r>
      <w:r>
        <w:rPr>
          <w:rFonts w:ascii="仿宋_GB2312" w:hAnsi="仿宋_GB2312" w:eastAsia="仿宋_GB2312" w:cs="仿宋_GB2312"/>
          <w:sz w:val="32"/>
        </w:rPr>
        <w:t>。</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2.一般公共预算当年拨款结构情况。</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一般公共服务（类）支出705.46万元，占80.1%；社会保障和就业（类）支出74.58万元，占8.5%；卫生健康（类）支出35.82万元，占4.1%；住房保障（类）支出64.73万元，占7.3%。</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3.一般公共预算当年拨款具体使用情况。</w:t>
      </w:r>
    </w:p>
    <w:p>
      <w:pPr>
        <w:spacing w:line="640" w:lineRule="exact"/>
        <w:ind w:firstLine="480" w:firstLineChars="150"/>
        <w:rPr>
          <w:rFonts w:hint="eastAsia" w:ascii="仿宋_GB2312" w:hAnsi="仿宋_GB2312" w:eastAsia="仿宋_GB2312" w:cs="仿宋_GB2312"/>
          <w:sz w:val="32"/>
        </w:rPr>
      </w:pPr>
      <w:r>
        <w:rPr>
          <w:rFonts w:ascii="仿宋_GB2312" w:hAnsi="仿宋_GB2312" w:eastAsia="仿宋_GB2312" w:cs="仿宋_GB2312"/>
          <w:sz w:val="32"/>
        </w:rPr>
        <w:t>（1）一般公共服务支出（类）群众团体事务（款）事业运行（项）556.66万元，主要用于</w:t>
      </w:r>
      <w:r>
        <w:rPr>
          <w:rFonts w:hint="eastAsia" w:ascii="仿宋_GB2312" w:hAnsi="仿宋_GB2312" w:eastAsia="仿宋_GB2312" w:cs="仿宋_GB2312"/>
          <w:sz w:val="32"/>
        </w:rPr>
        <w:t>事业单位人员工资及日常公用支出</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（2）一般公共服务支出（类）群众团体事务（款）其他群众团体事务支出（项）148.80万元，主要用于</w:t>
      </w:r>
      <w:r>
        <w:rPr>
          <w:rFonts w:hint="eastAsia" w:ascii="仿宋_GB2312" w:hAnsi="仿宋_GB2312" w:eastAsia="仿宋_GB2312" w:cs="仿宋_GB2312"/>
          <w:sz w:val="32"/>
          <w:lang w:eastAsia="zh-CN"/>
        </w:rPr>
        <w:t>温州市</w:t>
      </w:r>
      <w:r>
        <w:rPr>
          <w:rFonts w:hint="eastAsia" w:ascii="仿宋_GB2312" w:hAnsi="仿宋_GB2312" w:eastAsia="仿宋_GB2312" w:cs="仿宋_GB2312"/>
          <w:sz w:val="32"/>
        </w:rPr>
        <w:t>妇女儿童活动中心教育活动经费、专项修缮费</w:t>
      </w:r>
      <w:r>
        <w:rPr>
          <w:rFonts w:hint="eastAsia" w:ascii="仿宋_GB2312" w:hAnsi="仿宋_GB2312" w:eastAsia="仿宋_GB2312" w:cs="仿宋_GB2312"/>
          <w:sz w:val="32"/>
          <w:lang w:eastAsia="zh-CN"/>
        </w:rPr>
        <w:t>等支出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（3）社会保障和就业支出（类）行政事业单位养老支出（款）机关事业单位基本养老保险缴费支出（项）49.72万元，主要用于</w:t>
      </w:r>
      <w:r>
        <w:rPr>
          <w:rFonts w:hint="eastAsia" w:ascii="仿宋_GB2312" w:hAnsi="仿宋_GB2312" w:eastAsia="仿宋_GB2312" w:cs="仿宋_GB2312"/>
          <w:sz w:val="32"/>
        </w:rPr>
        <w:t>事业单位人员的基本养老保险经费支出</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（4）社会保障和就业支出（类）行政事业单位养老支出（款）机关事业单位职业年金缴费支出（项）24.86万元，主要用于</w:t>
      </w:r>
      <w:r>
        <w:rPr>
          <w:rFonts w:hint="eastAsia" w:ascii="仿宋_GB2312" w:hAnsi="仿宋_GB2312" w:eastAsia="仿宋_GB2312" w:cs="仿宋_GB2312"/>
          <w:sz w:val="32"/>
        </w:rPr>
        <w:t>事业单位人员的职业年金经费支出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（5）卫生健康支出（类）行政事业单位医疗（款）事业单位医疗（项）20.31万元，主要用于</w:t>
      </w:r>
      <w:r>
        <w:rPr>
          <w:rFonts w:hint="eastAsia" w:ascii="仿宋_GB2312" w:hAnsi="仿宋_GB2312" w:eastAsia="仿宋_GB2312" w:cs="仿宋_GB2312"/>
          <w:sz w:val="32"/>
        </w:rPr>
        <w:t>事业</w:t>
      </w:r>
      <w:r>
        <w:rPr>
          <w:rFonts w:hint="eastAsia" w:ascii="仿宋_GB2312" w:hAnsi="仿宋_GB2312" w:eastAsia="仿宋_GB2312" w:cs="仿宋_GB2312"/>
          <w:sz w:val="32"/>
          <w:lang w:eastAsia="zh-CN"/>
        </w:rPr>
        <w:t>单位</w:t>
      </w:r>
      <w:r>
        <w:rPr>
          <w:rFonts w:hint="eastAsia" w:ascii="仿宋_GB2312" w:hAnsi="仿宋_GB2312" w:eastAsia="仿宋_GB2312" w:cs="仿宋_GB2312"/>
          <w:sz w:val="32"/>
        </w:rPr>
        <w:t>人员的医疗保险的支出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（6）卫生健康支出（类）行政事业单位医疗（款）公务员医疗补助（项）15.51万元，主要用于</w:t>
      </w:r>
      <w:r>
        <w:rPr>
          <w:rFonts w:hint="eastAsia" w:ascii="仿宋_GB2312" w:hAnsi="仿宋_GB2312" w:eastAsia="仿宋_GB2312" w:cs="仿宋_GB2312"/>
          <w:sz w:val="32"/>
        </w:rPr>
        <w:t>事业单位人员医疗补助的支出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（7）住房保障支出（类）住房改革支出（款）住房公积金（项）53.23万元，主要用于</w:t>
      </w:r>
      <w:r>
        <w:rPr>
          <w:rFonts w:hint="eastAsia" w:ascii="仿宋_GB2312" w:hAnsi="仿宋_GB2312" w:eastAsia="仿宋_GB2312" w:cs="仿宋_GB2312"/>
          <w:sz w:val="32"/>
        </w:rPr>
        <w:t>事业单位人员的公积金支出</w:t>
      </w:r>
      <w:r>
        <w:rPr>
          <w:rFonts w:ascii="仿宋_GB2312" w:hAnsi="仿宋_GB2312" w:eastAsia="仿宋_GB2312" w:cs="仿宋_GB2312"/>
          <w:sz w:val="32"/>
        </w:rPr>
        <w:t>。</w:t>
      </w:r>
    </w:p>
    <w:p>
      <w:pPr>
        <w:spacing w:line="600" w:lineRule="exact"/>
        <w:ind w:firstLine="640" w:firstLineChars="200"/>
        <w:rPr>
          <w:rFonts w:hint="eastAsia" w:ascii="仿宋_GB2312" w:hAnsi="仿宋_GB2312" w:eastAsia="仿宋_GB2312" w:cs="仿宋_GB2312"/>
          <w:sz w:val="32"/>
        </w:rPr>
      </w:pPr>
      <w:r>
        <w:rPr>
          <w:rFonts w:ascii="仿宋_GB2312" w:hAnsi="仿宋_GB2312" w:eastAsia="仿宋_GB2312" w:cs="仿宋_GB2312"/>
          <w:sz w:val="32"/>
        </w:rPr>
        <w:t>（8）住房保障支出（类）住房改革支出（款）购房补贴（项）11.50万元，主要用于</w:t>
      </w:r>
      <w:r>
        <w:rPr>
          <w:rFonts w:hint="eastAsia" w:ascii="仿宋_GB2312" w:hAnsi="仿宋_GB2312" w:eastAsia="仿宋_GB2312" w:cs="仿宋_GB2312"/>
          <w:sz w:val="32"/>
        </w:rPr>
        <w:t>事业单位人员的购房补助</w:t>
      </w:r>
      <w:r>
        <w:rPr>
          <w:rFonts w:hint="eastAsia" w:ascii="仿宋_GB2312" w:hAnsi="仿宋_GB2312" w:eastAsia="仿宋_GB2312" w:cs="仿宋_GB2312"/>
          <w:sz w:val="32"/>
          <w:lang w:eastAsia="zh-CN"/>
        </w:rPr>
        <w:t>支出</w:t>
      </w:r>
      <w:r>
        <w:rPr>
          <w:rFonts w:ascii="仿宋_GB2312" w:hAnsi="仿宋_GB2312" w:eastAsia="仿宋_GB2312" w:cs="仿宋_GB2312"/>
          <w:sz w:val="32"/>
        </w:rPr>
        <w:t>。</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（六）一般公共预算基本支出情况说明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温州市妇女儿童活动中心2023年一般公共预算基本支出731.79万元，其中：</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人员经费668.88万元，主要包括：基本工资、津贴补贴、奖金、绩效工资、机关事业单位基本养老保险缴费、职业年金缴费、职工基本医疗保险缴费、公务员医疗补助缴费、其他社会保障缴费、住房公积金、其他工资福利支出、其他商品和服务支出、生活补助、其他对个人和家庭的补助；</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公用经费62.91万元，主要包括：其他工资福利支出、办公费、印刷费、咨询费、手续费、邮电费、差旅费、维修(护)费、培训费、公务接待费、专用材料费、劳务费、委托业务费、工会经费、福利费、其他商品和服务支出。</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（七）政府性基金预算支出情况说明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温州市妇女儿童活动中心2023年没有使用政府性基金预算安排的支出。</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（八）国有资本经营预算支出情况说明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温州市妇女儿童活动中心2023年没有使用国有资本经营预算拨款安排的支出。</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（九）一般公共预算“三公”经费预算情况说明</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温州市妇女儿童活动中心2023年“三公”经费预算（不含因公出国（境）经费）金额为0.90万元，比上年预算数减少0.05万元，下降5.3%，具体如下：</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1.因公出国（境）费用：根据《温州市财政局关于明确因公出国（境）经费审批意见的通知》（温财外[2018]41号）文件精神，2023年因公出国（境）经费实行归口管理，由市财政统筹安排，不再单独安排预算进行公开;温州市妇女儿童活动中心2022年因公出国（境）经费预算经核定为0万元。</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2.公务接待费：2023年安排公务接待费预算0.90万元，比上年预算数下降5.3%。主要用于</w:t>
      </w:r>
      <w:r>
        <w:rPr>
          <w:rFonts w:hint="eastAsia" w:ascii="仿宋_GB2312" w:eastAsia="仿宋_GB2312"/>
          <w:sz w:val="32"/>
          <w:szCs w:val="32"/>
        </w:rPr>
        <w:t>上级单位来温考察接待支出</w:t>
      </w:r>
      <w:r>
        <w:rPr>
          <w:rFonts w:ascii="仿宋_GB2312" w:hAnsi="仿宋_GB2312" w:eastAsia="仿宋_GB2312" w:cs="仿宋_GB2312"/>
          <w:sz w:val="32"/>
        </w:rPr>
        <w:t>。减少的主要原因是</w:t>
      </w:r>
      <w:r>
        <w:rPr>
          <w:rFonts w:hint="eastAsia" w:ascii="仿宋_GB2312" w:hAnsi="仿宋_GB2312" w:eastAsia="仿宋_GB2312" w:cs="仿宋_GB2312"/>
          <w:sz w:val="32"/>
          <w:lang w:eastAsia="zh-CN"/>
        </w:rPr>
        <w:t>财政要求进一步压缩经费支出</w:t>
      </w:r>
      <w:r>
        <w:rPr>
          <w:rFonts w:ascii="仿宋_GB2312" w:hAnsi="仿宋_GB2312" w:eastAsia="仿宋_GB2312" w:cs="仿宋_GB2312"/>
          <w:sz w:val="32"/>
        </w:rPr>
        <w:t>。</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3.公务用车购置及运行维护费：2023年安排公务用车购置及运行维护费预算0万元，与上年预算数持平。其中，公务用车购置支出0万元（含购置税等附加费用），与上年预算数持平，主要用于经批准购置的0辆公务用车；公务用车运行维护费支出0万元，与上年预算数持平，主要用于公务用车燃料费、维修费、过桥过路费、保险费、安全奖励费用等支出。</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（十）其他重要事项的情况说明</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1.机关运行经费。</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温州市妇女儿童活动中心为事业单位，无机关运行经费。</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2.政府采购情况。</w:t>
      </w:r>
    </w:p>
    <w:p>
      <w:pPr>
        <w:spacing w:line="600" w:lineRule="exact"/>
        <w:ind w:firstLine="640" w:firstLineChars="200"/>
        <w:rPr>
          <w:rFonts w:ascii="仿宋_GB2312" w:hAnsi="仿宋_GB2312" w:eastAsia="仿宋_GB2312" w:cs="仿宋_GB2312"/>
          <w:sz w:val="32"/>
        </w:rPr>
      </w:pPr>
      <w:r>
        <w:rPr>
          <w:rFonts w:ascii="仿宋_GB2312" w:hAnsi="仿宋_GB2312" w:eastAsia="仿宋_GB2312" w:cs="仿宋_GB2312"/>
          <w:sz w:val="32"/>
        </w:rPr>
        <w:t>2023年温州市妇女儿童活动中心所属各预算单位政府采购预算总额</w:t>
      </w:r>
      <w:r>
        <w:rPr>
          <w:rFonts w:hint="eastAsia" w:ascii="仿宋_GB2312" w:hAnsi="仿宋_GB2312" w:eastAsia="仿宋_GB2312" w:cs="仿宋_GB2312"/>
          <w:sz w:val="32"/>
          <w:lang w:val="en-US" w:eastAsia="zh-CN"/>
        </w:rPr>
        <w:t>298.7</w:t>
      </w:r>
      <w:r>
        <w:rPr>
          <w:rFonts w:ascii="仿宋_GB2312" w:hAnsi="仿宋_GB2312" w:eastAsia="仿宋_GB2312" w:cs="仿宋_GB2312"/>
          <w:sz w:val="32"/>
        </w:rPr>
        <w:t>万元，其中：政府采购货物预算</w:t>
      </w:r>
      <w:r>
        <w:rPr>
          <w:rFonts w:hint="eastAsia" w:ascii="仿宋_GB2312" w:hAnsi="仿宋_GB2312" w:eastAsia="仿宋_GB2312" w:cs="仿宋_GB2312"/>
          <w:sz w:val="32"/>
          <w:lang w:val="en-US" w:eastAsia="zh-CN"/>
        </w:rPr>
        <w:t>2.7</w:t>
      </w:r>
      <w:r>
        <w:rPr>
          <w:rFonts w:ascii="仿宋_GB2312" w:hAnsi="仿宋_GB2312" w:eastAsia="仿宋_GB2312" w:cs="仿宋_GB2312"/>
          <w:sz w:val="32"/>
        </w:rPr>
        <w:t>万元、政府采购工程预算0万元、政府采购服务预算</w:t>
      </w:r>
      <w:r>
        <w:rPr>
          <w:rFonts w:hint="eastAsia" w:ascii="仿宋_GB2312" w:hAnsi="仿宋_GB2312" w:eastAsia="仿宋_GB2312" w:cs="仿宋_GB2312"/>
          <w:sz w:val="32"/>
          <w:lang w:val="en-US" w:eastAsia="zh-CN"/>
        </w:rPr>
        <w:t>296</w:t>
      </w:r>
      <w:r>
        <w:rPr>
          <w:rFonts w:ascii="仿宋_GB2312" w:hAnsi="仿宋_GB2312" w:eastAsia="仿宋_GB2312" w:cs="仿宋_GB2312"/>
          <w:sz w:val="32"/>
        </w:rPr>
        <w:t>万元。</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3.国有资产占有使用情况。</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截至2022年12月31日，温州市妇女儿童活动中心所属各预算单位共有车辆0辆，其中，市级领导用车0辆、机要通信用车及应急保障用车0辆、执法执勤用车0辆、特种专业技术用车0辆、老干部服务用车0辆、行政执法专用车0辆、其他用车0辆。单位价值50万元以上通用设备0台（套），单位价值100万元以上专用设备0台（套）。</w:t>
      </w:r>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2023年部门预算安排购置车辆0辆，其中，市级领导用车0辆、机要通信用车及应急保障用车0辆、执法执勤用车0辆、特种专业技术用车0辆、老干部服务用车0辆、行政执法专用车0辆、其他用车0辆。2023年部门预算未安排购置车辆、单位价值50万元以上通用设备及单位价值100万元以上专用设备。</w:t>
      </w:r>
    </w:p>
    <w:p>
      <w:pPr>
        <w:spacing w:line="600" w:lineRule="exact"/>
        <w:ind w:firstLine="640" w:firstLineChars="200"/>
        <w:outlineLvl w:val="1"/>
        <w:rPr>
          <w:rFonts w:hint="eastAsia" w:ascii="仿宋_GB2312" w:eastAsia="仿宋_GB2312"/>
          <w:sz w:val="32"/>
          <w:szCs w:val="32"/>
        </w:rPr>
      </w:pPr>
      <w:r>
        <w:rPr>
          <w:rFonts w:hint="eastAsia" w:ascii="楷体" w:hAnsi="楷体" w:eastAsia="楷体" w:cs="楷体"/>
          <w:b w:val="0"/>
          <w:bCs/>
          <w:kern w:val="2"/>
          <w:sz w:val="32"/>
          <w:lang w:val="en-US" w:eastAsia="zh-CN" w:bidi="ar-SA"/>
        </w:rPr>
        <w:t>4.预算绩效情况说明。</w:t>
      </w:r>
      <w:bookmarkEnd w:id="12"/>
      <w:bookmarkEnd w:id="13"/>
    </w:p>
    <w:p>
      <w:pPr>
        <w:spacing w:line="600" w:lineRule="exact"/>
        <w:ind w:firstLine="640" w:firstLineChars="200"/>
        <w:rPr>
          <w:rFonts w:hint="eastAsia" w:ascii="仿宋_GB2312" w:eastAsia="仿宋_GB2312"/>
          <w:sz w:val="32"/>
          <w:szCs w:val="32"/>
        </w:rPr>
      </w:pPr>
      <w:r>
        <w:rPr>
          <w:rFonts w:ascii="仿宋_GB2312" w:hAnsi="仿宋_GB2312" w:eastAsia="仿宋_GB2312" w:cs="仿宋_GB2312"/>
          <w:sz w:val="32"/>
        </w:rPr>
        <w:t>2023年温州市妇女儿童活动中心其他运转类项目和特定目标类项目均实行绩效目标管理，涉及一般公共预算当年拨款148.80万元；一级项目2个。</w:t>
      </w:r>
    </w:p>
    <w:p>
      <w:pPr>
        <w:pStyle w:val="3"/>
        <w:adjustRightInd w:val="0"/>
        <w:snapToGrid w:val="0"/>
        <w:spacing w:before="0" w:after="0"/>
        <w:ind w:firstLine="643"/>
        <w:rPr>
          <w:b w:val="0"/>
          <w:bCs/>
        </w:rPr>
      </w:pPr>
      <w:bookmarkStart w:id="14" w:name="_Toc14184"/>
      <w:bookmarkStart w:id="15" w:name="_Toc14264"/>
      <w:bookmarkStart w:id="16" w:name="_Toc3807"/>
      <w:r>
        <w:rPr>
          <w:rFonts w:hint="eastAsia"/>
          <w:b w:val="0"/>
          <w:bCs/>
        </w:rPr>
        <w:t>三、名词解释</w:t>
      </w:r>
      <w:bookmarkEnd w:id="14"/>
      <w:bookmarkEnd w:id="15"/>
      <w:bookmarkEnd w:id="16"/>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1、财政拨款收入</w:t>
      </w:r>
      <w:r>
        <w:rPr>
          <w:rFonts w:ascii="仿宋_GB2312" w:hAnsi="仿宋_GB2312" w:eastAsia="仿宋_GB2312" w:cs="仿宋_GB2312"/>
          <w:sz w:val="32"/>
        </w:rPr>
        <w:t>：本级财政部门当年拨付的财政预算资金，包括一般公共预算财政拨款和政府性基金预算财政拨款。</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2、专户资金</w:t>
      </w:r>
      <w:r>
        <w:rPr>
          <w:rFonts w:ascii="仿宋_GB2312" w:hAnsi="仿宋_GB2312" w:eastAsia="仿宋_GB2312" w:cs="仿宋_GB2312"/>
          <w:sz w:val="32"/>
        </w:rPr>
        <w:t>：教育收费作为本部门的事业收入，纳入财政专户管理的资金。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3、事业收入</w:t>
      </w:r>
      <w:r>
        <w:rPr>
          <w:rFonts w:ascii="仿宋_GB2312" w:hAnsi="仿宋_GB2312" w:eastAsia="仿宋_GB2312" w:cs="仿宋_GB2312"/>
          <w:sz w:val="32"/>
        </w:rPr>
        <w:t>：事业单位开展专业业务活动及辅助活动所取得的收入，不含专户资金收入。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w:t>
      </w:r>
      <w:r>
        <w:rPr>
          <w:rFonts w:ascii="仿宋_GB2312" w:hAnsi="仿宋_GB2312" w:eastAsia="仿宋_GB2312" w:cs="仿宋_GB2312"/>
          <w:sz w:val="32"/>
        </w:rPr>
        <w:t>：事业单位在专业业务活动及辅助活动之外开展非独立核算经营活动取得的收入。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5、其他收入</w:t>
      </w:r>
      <w:r>
        <w:rPr>
          <w:rFonts w:ascii="仿宋_GB2312" w:hAnsi="仿宋_GB2312" w:eastAsia="仿宋_GB2312" w:cs="仿宋_GB2312"/>
          <w:sz w:val="32"/>
        </w:rPr>
        <w:t>：预算单位在“一般公共预算”“政府性基金”“专户资金”“事业收入”“事业单位经营收入”等之外取得的各项收入（含上级补助收入和附属单位缴款等收入）。</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w:t>
      </w:r>
      <w:r>
        <w:rPr>
          <w:rFonts w:ascii="仿宋_GB2312" w:hAnsi="仿宋_GB2312" w:eastAsia="仿宋_GB2312" w:cs="仿宋_GB2312"/>
          <w:sz w:val="32"/>
        </w:rPr>
        <w:t>：指事业单位在预计用当年的“财政拨款收入”“专户资金”“事业收入”“事业单位经营收入”“其他收入”“上年结转”等不足以安排当年支出的情况下，使用以前年度积累的事业基金弥补本年收支缺口的资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7、上年结转</w:t>
      </w:r>
      <w:r>
        <w:rPr>
          <w:rFonts w:ascii="仿宋_GB2312" w:hAnsi="仿宋_GB2312" w:eastAsia="仿宋_GB2312" w:cs="仿宋_GB2312"/>
          <w:sz w:val="32"/>
        </w:rPr>
        <w:t>：指以前年度尚未完成、结转到本年仍按原规定用途继续使用的资金。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8、基本支出</w:t>
      </w:r>
      <w:r>
        <w:rPr>
          <w:rFonts w:ascii="仿宋_GB2312" w:hAnsi="仿宋_GB2312" w:eastAsia="仿宋_GB2312" w:cs="仿宋_GB2312"/>
          <w:sz w:val="32"/>
        </w:rPr>
        <w:t>：是预算单位为保障其正常运转，完成日常工作任务所发生的支出，包括人员支出和日常公用支出。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9、项目支出</w:t>
      </w:r>
      <w:r>
        <w:rPr>
          <w:rFonts w:ascii="仿宋_GB2312" w:hAnsi="仿宋_GB2312" w:eastAsia="仿宋_GB2312" w:cs="仿宋_GB2312"/>
          <w:sz w:val="32"/>
        </w:rPr>
        <w:t>：是预算单位为完成其特定的行政工作任务或事业发展目标所发生的支出。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10、经营支出</w:t>
      </w:r>
      <w:r>
        <w:rPr>
          <w:rFonts w:ascii="仿宋_GB2312" w:hAnsi="仿宋_GB2312" w:eastAsia="仿宋_GB2312" w:cs="仿宋_GB2312"/>
          <w:sz w:val="32"/>
        </w:rPr>
        <w:t>：指事业单位在专业业务活动及其辅助活动之外开展非独立核算经营活动发生的支出。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11、“三公”经费</w:t>
      </w:r>
      <w:r>
        <w:rPr>
          <w:rFonts w:ascii="仿宋_GB2312" w:hAnsi="仿宋_GB2312" w:eastAsia="仿宋_GB2312" w:cs="仿宋_GB2312"/>
          <w:sz w:val="32"/>
        </w:rPr>
        <w:t>：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12、机关运行经费</w:t>
      </w:r>
      <w:r>
        <w:rPr>
          <w:rFonts w:ascii="仿宋_GB2312" w:hAnsi="仿宋_GB2312" w:eastAsia="仿宋_GB2312" w:cs="仿宋_GB2312"/>
          <w:sz w:val="32"/>
        </w:rPr>
        <w:t>：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13.一般公共服务支出(类)群众团体事务(款)事业运行(项)</w:t>
      </w:r>
      <w:r>
        <w:rPr>
          <w:rFonts w:ascii="仿宋_GB2312" w:hAnsi="仿宋_GB2312" w:eastAsia="仿宋_GB2312" w:cs="仿宋_GB2312"/>
          <w:sz w:val="32"/>
        </w:rPr>
        <w:t>：反映事业单位的基本支出，不包括行政单位（包括实行公务员管理的事业单位）后勤服务中心、医务室等附属事业单位。</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14.一般公共服务支出(类)群众团体事务(款)其他群众团体事务支出(项)</w:t>
      </w:r>
      <w:r>
        <w:rPr>
          <w:rFonts w:ascii="仿宋_GB2312" w:hAnsi="仿宋_GB2312" w:eastAsia="仿宋_GB2312" w:cs="仿宋_GB2312"/>
          <w:sz w:val="32"/>
        </w:rPr>
        <w:t>：反映除上述项目以外其他用于群众团体事务方面的支出。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15.社会保障和就业支出(类)行政事业单位养老支出(款)机关事业单位基本养老保险缴费支出(项)</w:t>
      </w:r>
      <w:r>
        <w:rPr>
          <w:rFonts w:ascii="仿宋_GB2312" w:hAnsi="仿宋_GB2312" w:eastAsia="仿宋_GB2312" w:cs="仿宋_GB2312"/>
          <w:sz w:val="32"/>
        </w:rPr>
        <w:t>：反映机关事业单位实施养老保险制度由单位缴纳的基本养老保险费支出。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16.社会保障和就业支出(类)行政事业单位养老支出(款)机关事业单位职业年金缴费支出(项)</w:t>
      </w:r>
      <w:r>
        <w:rPr>
          <w:rFonts w:ascii="仿宋_GB2312" w:hAnsi="仿宋_GB2312" w:eastAsia="仿宋_GB2312" w:cs="仿宋_GB2312"/>
          <w:sz w:val="32"/>
        </w:rPr>
        <w:t>：反映机关事业单位实施养老保险制度由单位实际缴纳的职业年金支出。</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17.卫生健康支出(类)行政事业单位医疗(款)事业单位医疗(项)</w:t>
      </w:r>
      <w:r>
        <w:rPr>
          <w:rFonts w:ascii="仿宋_GB2312" w:hAnsi="仿宋_GB2312" w:eastAsia="仿宋_GB2312" w:cs="仿宋_GB2312"/>
          <w:sz w:val="32"/>
        </w:rPr>
        <w:t>：反映财政部门安排的事业单位基本医疗保险缴费经费，未参加医疗保险的事业单位的公费医疗经费，按国家规定享受离休人员待遇的医疗经费。</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18.卫生健康支出(类)行政事业单位医疗(款)公务员医疗补助(项)</w:t>
      </w:r>
      <w:r>
        <w:rPr>
          <w:rFonts w:ascii="仿宋_GB2312" w:hAnsi="仿宋_GB2312" w:eastAsia="仿宋_GB2312" w:cs="仿宋_GB2312"/>
          <w:sz w:val="32"/>
        </w:rPr>
        <w:t>：反映财政部门安排的公务员医疗补助经费。</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19.住房保障支出(类)住房改革支出(款)住房公积金(项)</w:t>
      </w:r>
      <w:r>
        <w:rPr>
          <w:rFonts w:ascii="仿宋_GB2312" w:hAnsi="仿宋_GB2312" w:eastAsia="仿宋_GB2312" w:cs="仿宋_GB2312"/>
          <w:sz w:val="32"/>
        </w:rPr>
        <w:t>：反映行政事业单位按人力资源和社会保障部、财政部规定的基本工资和津贴补贴以及规定比例为职工缴纳的住房公积金。</w:t>
      </w:r>
    </w:p>
    <w:p>
      <w:pPr>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20.住房保障支出(类)住房改革支出(款)购房补贴(项)</w:t>
      </w:r>
      <w:r>
        <w:rPr>
          <w:rFonts w:ascii="仿宋_GB2312" w:hAnsi="仿宋_GB2312" w:eastAsia="仿宋_GB2312" w:cs="仿宋_GB2312"/>
          <w:sz w:val="32"/>
        </w:rPr>
        <w:t>：反映按房改政策规定，行政事业单位向符合条件职工（含离退休人员）、军队(含武警)向转役复员离退休人员发放的用于购买住房的补贴。</w:t>
      </w:r>
    </w:p>
    <w:p>
      <w:pPr>
        <w:pStyle w:val="3"/>
        <w:adjustRightInd w:val="0"/>
        <w:snapToGrid w:val="0"/>
        <w:spacing w:before="0" w:after="0"/>
        <w:ind w:firstLine="643"/>
        <w:rPr>
          <w:rFonts w:hint="eastAsia"/>
          <w:b w:val="0"/>
          <w:bCs/>
          <w:lang w:eastAsia="zh-CN"/>
        </w:rPr>
        <w:sectPr>
          <w:footerReference r:id="rId6" w:type="default"/>
          <w:pgSz w:w="11906" w:h="16838"/>
          <w:pgMar w:top="1440" w:right="1800" w:bottom="1440" w:left="1800" w:header="851" w:footer="992" w:gutter="0"/>
          <w:pgNumType w:fmt="decimal"/>
          <w:cols w:space="425" w:num="1"/>
          <w:docGrid w:type="lines" w:linePitch="312" w:charSpace="0"/>
        </w:sectPr>
      </w:pPr>
    </w:p>
    <w:p>
      <w:pPr>
        <w:ind w:left="838" w:leftChars="399" w:firstLine="841" w:firstLineChars="263"/>
        <w:jc w:val="left"/>
        <w:rPr>
          <w:rFonts w:hint="eastAsia" w:ascii="Times New Roman" w:hAnsi="Times New Roman" w:eastAsia="黑体" w:cs="Times New Roman"/>
          <w:b w:val="0"/>
          <w:bCs/>
          <w:kern w:val="44"/>
          <w:sz w:val="32"/>
          <w:lang w:val="en-US" w:eastAsia="zh-CN" w:bidi="ar-SA"/>
        </w:rPr>
      </w:pPr>
      <w:r>
        <w:rPr>
          <w:rFonts w:hint="eastAsia" w:ascii="Times New Roman" w:hAnsi="Times New Roman" w:eastAsia="黑体" w:cs="Times New Roman"/>
          <w:b w:val="0"/>
          <w:bCs/>
          <w:kern w:val="44"/>
          <w:sz w:val="32"/>
          <w:lang w:val="en-US" w:eastAsia="zh-CN" w:bidi="ar-SA"/>
        </w:rPr>
        <w:t>四、</w:t>
      </w:r>
      <w:r>
        <w:rPr>
          <w:rFonts w:hint="eastAsia" w:ascii="黑体" w:hAnsi="黑体" w:eastAsia="黑体" w:cs="黑体"/>
          <w:b w:val="0"/>
          <w:bCs/>
          <w:kern w:val="44"/>
          <w:sz w:val="32"/>
          <w:lang w:val="en-US" w:eastAsia="zh-CN" w:bidi="ar-SA"/>
        </w:rPr>
        <w:t>2023</w:t>
      </w:r>
      <w:r>
        <w:rPr>
          <w:rFonts w:hint="eastAsia" w:ascii="Times New Roman" w:hAnsi="Times New Roman" w:eastAsia="黑体" w:cs="Times New Roman"/>
          <w:b w:val="0"/>
          <w:bCs/>
          <w:kern w:val="44"/>
          <w:sz w:val="32"/>
          <w:lang w:val="en-US" w:eastAsia="zh-CN" w:bidi="ar-SA"/>
        </w:rPr>
        <w:t>年</w:t>
      </w:r>
      <w:r>
        <w:rPr>
          <w:rFonts w:hint="eastAsia" w:ascii="黑体" w:hAnsi="黑体" w:eastAsia="黑体" w:cs="黑体"/>
          <w:b w:val="0"/>
          <w:bCs/>
          <w:kern w:val="44"/>
          <w:sz w:val="32"/>
          <w:lang w:val="en-US" w:eastAsia="zh-CN" w:bidi="ar-SA"/>
        </w:rPr>
        <w:t>单位</w:t>
      </w:r>
      <w:r>
        <w:rPr>
          <w:rFonts w:hint="eastAsia" w:ascii="Times New Roman" w:hAnsi="Times New Roman" w:eastAsia="黑体" w:cs="Times New Roman"/>
          <w:b w:val="0"/>
          <w:bCs/>
          <w:kern w:val="44"/>
          <w:sz w:val="32"/>
          <w:lang w:val="en-US" w:eastAsia="zh-CN" w:bidi="ar-SA"/>
        </w:rPr>
        <w:t>预算公开表</w:t>
      </w:r>
    </w:p>
    <w:p>
      <w:pPr>
        <w:jc w:val="right"/>
        <w:rPr>
          <w:rFonts w:hint="eastAsia" w:ascii="仿宋_GB2312" w:hAnsi="仿宋_GB2312" w:eastAsia="仿宋_GB2312" w:cs="仿宋_GB2312"/>
          <w:bCs/>
          <w:szCs w:val="21"/>
        </w:rPr>
      </w:pPr>
      <w:r>
        <w:rPr>
          <w:rFonts w:hint="eastAsia" w:ascii="仿宋_GB2312" w:hAnsi="仿宋_GB2312" w:eastAsia="仿宋_GB2312" w:cs="仿宋_GB2312"/>
          <w:bCs/>
          <w:szCs w:val="21"/>
        </w:rPr>
        <w:t>公开表1</w:t>
      </w:r>
    </w:p>
    <w:p>
      <w:pPr>
        <w:pStyle w:val="2"/>
        <w:jc w:val="center"/>
        <w:outlineLvl w:val="1"/>
        <w:rPr>
          <w:rFonts w:hint="eastAsia" w:ascii="仿宋_GB2312" w:hAnsi="仿宋_GB2312" w:eastAsia="仿宋_GB2312" w:cs="仿宋_GB2312"/>
        </w:rPr>
      </w:pPr>
      <w:bookmarkStart w:id="17" w:name="_Toc20401"/>
      <w:bookmarkStart w:id="18" w:name="_Toc3544"/>
      <w:r>
        <w:rPr>
          <w:rFonts w:hint="eastAsia" w:ascii="仿宋_GB2312" w:hAnsi="仿宋_GB2312" w:eastAsia="仿宋_GB2312" w:cs="仿宋_GB2312"/>
          <w:i w:val="0"/>
          <w:iCs w:val="0"/>
          <w:color w:val="000000"/>
          <w:kern w:val="0"/>
          <w:sz w:val="44"/>
          <w:szCs w:val="44"/>
          <w:u w:val="none"/>
          <w:lang w:val="en-US" w:eastAsia="zh-CN" w:bidi="ar"/>
        </w:rPr>
        <w:t>2023</w:t>
      </w:r>
      <w:bookmarkEnd w:id="17"/>
      <w:bookmarkEnd w:id="18"/>
      <w:r>
        <w:rPr>
          <w:rFonts w:ascii="仿宋_GB2312" w:hAnsi="仿宋_GB2312" w:eastAsia="仿宋_GB2312" w:cs="仿宋_GB2312"/>
          <w:color w:val="000000"/>
          <w:sz w:val="44"/>
        </w:rPr>
        <w:t>年单位收支预算总表</w:t>
      </w:r>
    </w:p>
    <w:tbl>
      <w:tblPr>
        <w:tblStyle w:val="13"/>
        <w:tblW w:w="4888" w:type="pct"/>
        <w:jc w:val="center"/>
        <w:tblLayout w:type="autofit"/>
        <w:tblCellMar>
          <w:top w:w="0" w:type="dxa"/>
          <w:left w:w="108" w:type="dxa"/>
          <w:bottom w:w="0" w:type="dxa"/>
          <w:right w:w="108" w:type="dxa"/>
        </w:tblCellMar>
      </w:tblPr>
      <w:tblGrid>
        <w:gridCol w:w="3587"/>
        <w:gridCol w:w="1694"/>
        <w:gridCol w:w="3835"/>
        <w:gridCol w:w="1327"/>
      </w:tblGrid>
      <w:tr>
        <w:tblPrEx>
          <w:tblCellMar>
            <w:top w:w="0" w:type="dxa"/>
            <w:left w:w="108" w:type="dxa"/>
            <w:bottom w:w="0" w:type="dxa"/>
            <w:right w:w="108" w:type="dxa"/>
          </w:tblCellMar>
        </w:tblPrEx>
        <w:trPr>
          <w:trHeight w:val="175" w:hRule="atLeast"/>
          <w:jc w:val="center"/>
        </w:trPr>
        <w:tc>
          <w:tcPr>
            <w:tcW w:w="4364" w:type="pct"/>
            <w:gridSpan w:val="3"/>
            <w:tcBorders>
              <w:top w:val="nil"/>
              <w:left w:val="nil"/>
              <w:bottom w:val="single" w:color="auto" w:sz="4" w:space="0"/>
              <w:right w:val="nil"/>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635" w:type="pct"/>
            <w:tcBorders>
              <w:top w:val="nil"/>
              <w:left w:val="nil"/>
              <w:bottom w:val="single" w:color="auto" w:sz="4" w:space="0"/>
              <w:right w:val="nil"/>
            </w:tcBorders>
            <w:vAlign w:val="center"/>
          </w:tcPr>
          <w:p>
            <w:pPr>
              <w:keepNext w:val="0"/>
              <w:keepLines w:val="0"/>
              <w:widowControl/>
              <w:suppressLineNumbers w:val="0"/>
              <w:jc w:val="right"/>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单位：万元</w:t>
            </w:r>
          </w:p>
        </w:tc>
      </w:tr>
      <w:tr>
        <w:tblPrEx>
          <w:tblCellMar>
            <w:top w:w="0" w:type="dxa"/>
            <w:left w:w="108" w:type="dxa"/>
            <w:bottom w:w="0" w:type="dxa"/>
            <w:right w:w="108" w:type="dxa"/>
          </w:tblCellMar>
        </w:tblPrEx>
        <w:trPr>
          <w:trHeight w:val="128" w:hRule="atLeast"/>
          <w:jc w:val="center"/>
        </w:trPr>
        <w:tc>
          <w:tcPr>
            <w:tcW w:w="2528"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收                    入</w:t>
            </w:r>
          </w:p>
        </w:tc>
        <w:tc>
          <w:tcPr>
            <w:tcW w:w="2471"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支                    出</w:t>
            </w:r>
          </w:p>
        </w:tc>
      </w:tr>
      <w:tr>
        <w:tblPrEx>
          <w:tblCellMar>
            <w:top w:w="0" w:type="dxa"/>
            <w:left w:w="108" w:type="dxa"/>
            <w:bottom w:w="0" w:type="dxa"/>
            <w:right w:w="108" w:type="dxa"/>
          </w:tblCellMar>
        </w:tblPrEx>
        <w:trPr>
          <w:trHeight w:val="90"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ascii="仿宋_GB2312" w:hAnsi="仿宋_GB2312" w:eastAsia="仿宋_GB2312" w:cs="仿宋_GB2312"/>
                <w:color w:val="000000"/>
                <w:sz w:val="20"/>
              </w:rPr>
              <w:t>项       目</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预算数</w:t>
            </w:r>
          </w:p>
        </w:tc>
        <w:tc>
          <w:tcPr>
            <w:tcW w:w="183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项    目</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kern w:val="0"/>
                <w:sz w:val="18"/>
                <w:szCs w:val="18"/>
              </w:rPr>
            </w:pPr>
            <w:r>
              <w:rPr>
                <w:rFonts w:hint="eastAsia" w:ascii="仿宋_GB2312" w:hAnsi="仿宋_GB2312" w:eastAsia="仿宋_GB2312" w:cs="仿宋_GB2312"/>
                <w:i w:val="0"/>
                <w:iCs w:val="0"/>
                <w:color w:val="000000"/>
                <w:kern w:val="0"/>
                <w:sz w:val="20"/>
                <w:szCs w:val="20"/>
                <w:u w:val="none"/>
                <w:lang w:val="en-US" w:eastAsia="zh-CN" w:bidi="ar"/>
              </w:rPr>
              <w:t>预算数</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一、财政拨款</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一般公共服务支出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1,599.96</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一般公共预算</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群众团体事务</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1,599.96</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政府性基金预算</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事业运行</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556.66</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国有资本经营预算</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其他群众团体事务支出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二、财政专户管理资金</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894.50</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社会保障和就业支出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三、事业收入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行政事业单位养老支出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四、事业单位经营收入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五、上级补助收入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机关事业单位职业年金缴费支出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六、附属单位上缴收入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卫生健康支出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七、其他收入</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行政事业单位医疗</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事业单位医疗</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公务员医疗补助</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住房保障支出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住房改革支出</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购房补贴</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本年收入合计</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本年支出合计</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上年结转结余</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年终结转结余</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CellMar>
            <w:top w:w="0" w:type="dxa"/>
            <w:left w:w="108" w:type="dxa"/>
            <w:bottom w:w="0" w:type="dxa"/>
            <w:right w:w="108" w:type="dxa"/>
          </w:tblCellMar>
        </w:tblPrEx>
        <w:trPr>
          <w:trHeight w:val="154" w:hRule="atLeast"/>
          <w:jc w:val="center"/>
        </w:trPr>
        <w:tc>
          <w:tcPr>
            <w:tcW w:w="1717"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收  入  总  计</w:t>
            </w:r>
          </w:p>
        </w:tc>
        <w:tc>
          <w:tcPr>
            <w:tcW w:w="810"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c>
          <w:tcPr>
            <w:tcW w:w="1836"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支  出  总  计</w:t>
            </w:r>
          </w:p>
        </w:tc>
        <w:tc>
          <w:tcPr>
            <w:tcW w:w="635"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r>
    </w:tbl>
    <w:p>
      <w:pPr>
        <w:keepNext w:val="0"/>
        <w:keepLines w:val="0"/>
        <w:widowControl/>
        <w:suppressLineNumbers w:val="0"/>
        <w:jc w:val="left"/>
        <w:textAlignment w:val="center"/>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i w:val="0"/>
          <w:iCs w:val="0"/>
          <w:color w:val="000000"/>
          <w:kern w:val="0"/>
          <w:sz w:val="20"/>
          <w:szCs w:val="20"/>
          <w:u w:val="none"/>
          <w:lang w:val="en-US" w:eastAsia="zh-CN" w:bidi="ar"/>
        </w:rPr>
        <w:t>注：本套报表若明细数加计之和与合计数有尾差，系套表金额转换时四舍五入造成，不另行调整。</w:t>
      </w:r>
    </w:p>
    <w:p>
      <w:pPr>
        <w:pStyle w:val="2"/>
        <w:rPr>
          <w:rFonts w:hint="eastAsia" w:ascii="仿宋_GB2312" w:hAnsi="仿宋_GB2312" w:eastAsia="仿宋_GB2312" w:cs="仿宋_GB2312"/>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2</w:t>
      </w:r>
    </w:p>
    <w:p>
      <w:pPr>
        <w:pStyle w:val="2"/>
        <w:jc w:val="center"/>
        <w:outlineLvl w:val="1"/>
        <w:rPr>
          <w:rFonts w:hint="eastAsia" w:ascii="仿宋_GB2312" w:hAnsi="仿宋_GB2312" w:eastAsia="仿宋_GB2312" w:cs="仿宋_GB2312"/>
          <w:lang w:val="en-US" w:eastAsia="zh-CN"/>
        </w:rPr>
      </w:pPr>
      <w:bookmarkStart w:id="19" w:name="_Toc28635"/>
      <w:bookmarkStart w:id="20" w:name="_Toc23665"/>
      <w:r>
        <w:rPr>
          <w:rFonts w:hint="eastAsia" w:ascii="仿宋_GB2312" w:hAnsi="仿宋_GB2312" w:eastAsia="仿宋_GB2312" w:cs="仿宋_GB2312"/>
          <w:i w:val="0"/>
          <w:iCs w:val="0"/>
          <w:color w:val="000000"/>
          <w:kern w:val="0"/>
          <w:sz w:val="44"/>
          <w:szCs w:val="44"/>
          <w:u w:val="none"/>
          <w:lang w:val="en-US" w:eastAsia="zh-CN" w:bidi="ar"/>
        </w:rPr>
        <w:t>2023</w:t>
      </w:r>
      <w:bookmarkEnd w:id="19"/>
      <w:bookmarkEnd w:id="20"/>
      <w:r>
        <w:rPr>
          <w:rFonts w:ascii="仿宋_GB2312" w:hAnsi="仿宋_GB2312" w:eastAsia="仿宋_GB2312" w:cs="仿宋_GB2312"/>
          <w:color w:val="000000"/>
          <w:sz w:val="44"/>
        </w:rPr>
        <w:t>年单位收入预算总表</w:t>
      </w:r>
    </w:p>
    <w:tbl>
      <w:tblPr>
        <w:tblStyle w:val="13"/>
        <w:tblW w:w="16452" w:type="dxa"/>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4"/>
        <w:gridCol w:w="1183"/>
        <w:gridCol w:w="1187"/>
        <w:gridCol w:w="1069"/>
        <w:gridCol w:w="979"/>
        <w:gridCol w:w="769"/>
        <w:gridCol w:w="809"/>
        <w:gridCol w:w="626"/>
        <w:gridCol w:w="822"/>
        <w:gridCol w:w="822"/>
        <w:gridCol w:w="860"/>
        <w:gridCol w:w="900"/>
        <w:gridCol w:w="953"/>
        <w:gridCol w:w="847"/>
        <w:gridCol w:w="831"/>
        <w:gridCol w:w="904"/>
        <w:gridCol w:w="822"/>
        <w:gridCol w:w="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11250" w:type="dxa"/>
            <w:gridSpan w:val="12"/>
            <w:tcBorders>
              <w:top w:val="nil"/>
              <w:left w:val="nil"/>
              <w:bottom w:val="single" w:color="auto" w:sz="4" w:space="0"/>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5202" w:type="dxa"/>
            <w:gridSpan w:val="6"/>
            <w:tcBorders>
              <w:top w:val="nil"/>
              <w:left w:val="nil"/>
              <w:bottom w:val="single" w:color="auto" w:sz="4" w:space="0"/>
              <w:right w:val="nil"/>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kern w:val="0"/>
                <w:szCs w:val="21"/>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单位名称</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总计</w:t>
            </w:r>
          </w:p>
        </w:tc>
        <w:tc>
          <w:tcPr>
            <w:tcW w:w="884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本年收入</w:t>
            </w:r>
          </w:p>
        </w:tc>
        <w:tc>
          <w:tcPr>
            <w:tcW w:w="520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 w:hRule="atLeast"/>
        </w:trPr>
        <w:tc>
          <w:tcPr>
            <w:tcW w:w="122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16"/>
                <w:szCs w:val="16"/>
                <w:u w:val="none"/>
              </w:rPr>
            </w:pPr>
          </w:p>
        </w:tc>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16"/>
                <w:szCs w:val="16"/>
                <w:u w:val="none"/>
              </w:rPr>
            </w:pPr>
          </w:p>
        </w:tc>
        <w:tc>
          <w:tcPr>
            <w:tcW w:w="11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小计</w:t>
            </w:r>
          </w:p>
        </w:tc>
        <w:tc>
          <w:tcPr>
            <w:tcW w:w="10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一般公共</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预算</w:t>
            </w:r>
          </w:p>
        </w:tc>
        <w:tc>
          <w:tcPr>
            <w:tcW w:w="9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政府性基金预算</w:t>
            </w:r>
          </w:p>
        </w:tc>
        <w:tc>
          <w:tcPr>
            <w:tcW w:w="7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国有资本经营预算</w:t>
            </w:r>
          </w:p>
        </w:tc>
        <w:tc>
          <w:tcPr>
            <w:tcW w:w="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财政专户管理资金</w:t>
            </w:r>
          </w:p>
        </w:tc>
        <w:tc>
          <w:tcPr>
            <w:tcW w:w="6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事业收入</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事业单位经营收入</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上级补助收入</w:t>
            </w:r>
          </w:p>
        </w:tc>
        <w:tc>
          <w:tcPr>
            <w:tcW w:w="8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附属单位上缴收入</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其他</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收入</w:t>
            </w:r>
          </w:p>
        </w:tc>
        <w:tc>
          <w:tcPr>
            <w:tcW w:w="9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小计</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一般公共预算</w:t>
            </w:r>
          </w:p>
        </w:tc>
        <w:tc>
          <w:tcPr>
            <w:tcW w:w="8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政府性基金预算</w:t>
            </w:r>
          </w:p>
        </w:tc>
        <w:tc>
          <w:tcPr>
            <w:tcW w:w="9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专户资金结转结余</w:t>
            </w:r>
          </w:p>
        </w:tc>
        <w:tc>
          <w:tcPr>
            <w:tcW w:w="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单位资金结转结余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2</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3</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4</w:t>
            </w: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5</w:t>
            </w:r>
          </w:p>
        </w:tc>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6</w:t>
            </w:r>
          </w:p>
        </w:tc>
        <w:tc>
          <w:tcPr>
            <w:tcW w:w="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7</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9</w:t>
            </w: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11</w:t>
            </w: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12</w:t>
            </w: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13</w:t>
            </w: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14</w:t>
            </w:r>
          </w:p>
        </w:tc>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15</w:t>
            </w: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16</w:t>
            </w: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hint="eastAsia" w:ascii="仿宋_GB2312" w:hAnsi="仿宋_GB2312" w:eastAsia="仿宋_GB2312" w:cs="仿宋_GB2312"/>
                <w:i w:val="0"/>
                <w:iCs w:val="0"/>
                <w:color w:val="000000"/>
                <w:sz w:val="16"/>
                <w:szCs w:val="16"/>
                <w:u w:val="none"/>
                <w:lang w:val="en-US" w:eastAsia="zh-CN"/>
              </w:rPr>
            </w:pPr>
            <w:r>
              <w:rPr>
                <w:rFonts w:hint="eastAsia" w:ascii="仿宋_GB2312" w:hAnsi="仿宋_GB2312" w:eastAsia="仿宋_GB2312" w:cs="仿宋_GB2312"/>
                <w:i w:val="0"/>
                <w:iCs w:val="0"/>
                <w:color w:val="000000"/>
                <w:sz w:val="16"/>
                <w:szCs w:val="16"/>
                <w:u w:val="none"/>
                <w:lang w:val="en-US" w:eastAsia="zh-CN"/>
              </w:rPr>
              <w:t>合计</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880.59</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r>
              <w:rPr>
                <w:rFonts w:hint="eastAsia" w:ascii="仿宋_GB2312" w:hAnsi="仿宋_GB2312" w:eastAsia="仿宋_GB2312" w:cs="仿宋_GB2312"/>
                <w:i w:val="0"/>
                <w:iCs w:val="0"/>
                <w:color w:val="000000"/>
                <w:kern w:val="0"/>
                <w:sz w:val="16"/>
                <w:szCs w:val="16"/>
                <w:u w:val="none"/>
                <w:lang w:val="en-US" w:eastAsia="zh-CN" w:bidi="ar"/>
              </w:rPr>
              <w:t>894.50</w:t>
            </w:r>
          </w:p>
        </w:tc>
        <w:tc>
          <w:tcPr>
            <w:tcW w:w="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温州市妇女联合会</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880.59</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894.50</w:t>
            </w:r>
          </w:p>
        </w:tc>
        <w:tc>
          <w:tcPr>
            <w:tcW w:w="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 w:hRule="atLeast"/>
        </w:trPr>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　温州市妇女儿童活动中心</w:t>
            </w:r>
          </w:p>
        </w:tc>
        <w:tc>
          <w:tcPr>
            <w:tcW w:w="118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1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1,775.09</w:t>
            </w:r>
          </w:p>
        </w:tc>
        <w:tc>
          <w:tcPr>
            <w:tcW w:w="10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880.59</w:t>
            </w:r>
          </w:p>
        </w:tc>
        <w:tc>
          <w:tcPr>
            <w:tcW w:w="9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7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bidi="ar"/>
              </w:rPr>
              <w:t>894.50</w:t>
            </w:r>
          </w:p>
        </w:tc>
        <w:tc>
          <w:tcPr>
            <w:tcW w:w="62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9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2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c>
          <w:tcPr>
            <w:tcW w:w="8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16"/>
                <w:szCs w:val="16"/>
                <w:u w:val="none"/>
              </w:rPr>
            </w:pPr>
          </w:p>
        </w:tc>
      </w:tr>
    </w:tbl>
    <w:p>
      <w:pPr>
        <w:pStyle w:val="2"/>
        <w:rPr>
          <w:rFonts w:hint="eastAsia" w:ascii="仿宋_GB2312" w:hAnsi="仿宋_GB2312" w:eastAsia="仿宋_GB2312" w:cs="仿宋_GB2312"/>
        </w:rPr>
        <w:sectPr>
          <w:pgSz w:w="16838" w:h="11906" w:orient="landscape"/>
          <w:pgMar w:top="720" w:right="153" w:bottom="720" w:left="153"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3</w:t>
      </w:r>
    </w:p>
    <w:p>
      <w:pPr>
        <w:pStyle w:val="2"/>
        <w:jc w:val="center"/>
        <w:outlineLvl w:val="1"/>
        <w:rPr>
          <w:rFonts w:hint="eastAsia" w:ascii="仿宋_GB2312" w:hAnsi="仿宋_GB2312" w:eastAsia="仿宋_GB2312" w:cs="仿宋_GB2312"/>
          <w:lang w:val="en-US" w:eastAsia="zh-CN"/>
        </w:rPr>
      </w:pPr>
      <w:bookmarkStart w:id="21" w:name="_Toc6651"/>
      <w:bookmarkStart w:id="22" w:name="_Toc22904"/>
      <w:r>
        <w:rPr>
          <w:rFonts w:hint="eastAsia" w:ascii="仿宋_GB2312" w:hAnsi="仿宋_GB2312" w:eastAsia="仿宋_GB2312" w:cs="仿宋_GB2312"/>
          <w:i w:val="0"/>
          <w:iCs w:val="0"/>
          <w:color w:val="000000"/>
          <w:kern w:val="0"/>
          <w:sz w:val="44"/>
          <w:szCs w:val="44"/>
          <w:u w:val="none"/>
          <w:lang w:val="en-US" w:eastAsia="zh-CN" w:bidi="ar"/>
        </w:rPr>
        <w:t>2023</w:t>
      </w:r>
      <w:bookmarkEnd w:id="21"/>
      <w:bookmarkEnd w:id="22"/>
      <w:r>
        <w:rPr>
          <w:rFonts w:ascii="仿宋_GB2312" w:hAnsi="仿宋_GB2312" w:eastAsia="仿宋_GB2312" w:cs="仿宋_GB2312"/>
          <w:color w:val="000000"/>
          <w:sz w:val="44"/>
        </w:rPr>
        <w:t>年单位支出预算总表</w:t>
      </w:r>
    </w:p>
    <w:tbl>
      <w:tblPr>
        <w:tblStyle w:val="13"/>
        <w:tblW w:w="153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66"/>
        <w:gridCol w:w="4891"/>
        <w:gridCol w:w="1553"/>
        <w:gridCol w:w="1265"/>
        <w:gridCol w:w="1135"/>
        <w:gridCol w:w="1226"/>
        <w:gridCol w:w="1017"/>
        <w:gridCol w:w="966"/>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775" w:type="dxa"/>
            <w:gridSpan w:val="4"/>
            <w:tcBorders>
              <w:top w:val="nil"/>
              <w:left w:val="nil"/>
              <w:bottom w:val="single" w:color="000000" w:sz="4" w:space="0"/>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135" w:type="dxa"/>
            <w:tcBorders>
              <w:top w:val="nil"/>
              <w:left w:val="nil"/>
              <w:bottom w:val="nil"/>
              <w:right w:val="nil"/>
            </w:tcBorders>
            <w:shd w:val="clear" w:color="auto" w:fill="auto"/>
            <w:vAlign w:val="center"/>
          </w:tcPr>
          <w:p>
            <w:pPr>
              <w:rPr>
                <w:rFonts w:hint="eastAsia" w:ascii="仿宋_GB2312" w:hAnsi="仿宋_GB2312" w:eastAsia="仿宋_GB2312" w:cs="仿宋_GB2312"/>
                <w:i w:val="0"/>
                <w:iCs w:val="0"/>
                <w:color w:val="000000"/>
                <w:sz w:val="20"/>
                <w:szCs w:val="20"/>
                <w:u w:val="none"/>
              </w:rPr>
            </w:pPr>
          </w:p>
        </w:tc>
        <w:tc>
          <w:tcPr>
            <w:tcW w:w="1226" w:type="dxa"/>
            <w:tcBorders>
              <w:top w:val="nil"/>
              <w:left w:val="nil"/>
              <w:bottom w:val="nil"/>
              <w:right w:val="nil"/>
            </w:tcBorders>
            <w:shd w:val="clear" w:color="auto" w:fill="auto"/>
            <w:noWrap/>
            <w:vAlign w:val="bottom"/>
          </w:tcPr>
          <w:p>
            <w:pPr>
              <w:rPr>
                <w:rFonts w:hint="eastAsia" w:ascii="仿宋_GB2312" w:hAnsi="仿宋_GB2312" w:eastAsia="仿宋_GB2312" w:cs="仿宋_GB2312"/>
                <w:i w:val="0"/>
                <w:iCs w:val="0"/>
                <w:color w:val="000000"/>
                <w:sz w:val="22"/>
                <w:szCs w:val="22"/>
                <w:u w:val="none"/>
              </w:rPr>
            </w:pPr>
          </w:p>
        </w:tc>
        <w:tc>
          <w:tcPr>
            <w:tcW w:w="1017" w:type="dxa"/>
            <w:tcBorders>
              <w:top w:val="nil"/>
              <w:left w:val="nil"/>
              <w:bottom w:val="nil"/>
              <w:right w:val="nil"/>
            </w:tcBorders>
            <w:shd w:val="clear" w:color="auto" w:fill="auto"/>
            <w:noWrap/>
            <w:vAlign w:val="bottom"/>
          </w:tcPr>
          <w:p>
            <w:pPr>
              <w:rPr>
                <w:rFonts w:hint="eastAsia" w:ascii="仿宋_GB2312" w:hAnsi="仿宋_GB2312" w:eastAsia="仿宋_GB2312" w:cs="仿宋_GB2312"/>
                <w:i w:val="0"/>
                <w:iCs w:val="0"/>
                <w:color w:val="000000"/>
                <w:sz w:val="22"/>
                <w:szCs w:val="22"/>
                <w:u w:val="none"/>
              </w:rPr>
            </w:pPr>
          </w:p>
        </w:tc>
        <w:tc>
          <w:tcPr>
            <w:tcW w:w="966" w:type="dxa"/>
            <w:tcBorders>
              <w:top w:val="nil"/>
              <w:left w:val="nil"/>
              <w:bottom w:val="nil"/>
              <w:right w:val="nil"/>
            </w:tcBorders>
            <w:shd w:val="clear" w:color="auto" w:fill="auto"/>
            <w:noWrap/>
            <w:vAlign w:val="bottom"/>
          </w:tcPr>
          <w:p>
            <w:pPr>
              <w:rPr>
                <w:rFonts w:hint="eastAsia" w:ascii="仿宋_GB2312" w:hAnsi="仿宋_GB2312" w:eastAsia="仿宋_GB2312" w:cs="仿宋_GB2312"/>
                <w:i w:val="0"/>
                <w:iCs w:val="0"/>
                <w:color w:val="000000"/>
                <w:sz w:val="22"/>
                <w:szCs w:val="22"/>
                <w:u w:val="none"/>
              </w:rPr>
            </w:pPr>
          </w:p>
        </w:tc>
        <w:tc>
          <w:tcPr>
            <w:tcW w:w="1265"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20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48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15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总计</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基本支出</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项目支出</w:t>
            </w:r>
          </w:p>
        </w:tc>
        <w:tc>
          <w:tcPr>
            <w:tcW w:w="10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事业单位经营支出</w:t>
            </w:r>
          </w:p>
        </w:tc>
        <w:tc>
          <w:tcPr>
            <w:tcW w:w="9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上缴上</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级支出</w:t>
            </w:r>
          </w:p>
        </w:tc>
        <w:tc>
          <w:tcPr>
            <w:tcW w:w="1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8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5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人员支出</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公用经费</w:t>
            </w: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9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ascii="仿宋_GB2312" w:hAnsi="仿宋_GB2312" w:eastAsia="仿宋_GB2312" w:cs="仿宋_GB2312"/>
                <w:color w:val="000000"/>
                <w:sz w:val="20"/>
              </w:rPr>
              <w:t>合计</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1,775.09</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668.88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201</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一般公共服务支出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1,599.96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20129</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群众团体事务</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1,599.96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2012950</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事业运行</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2012999</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其他群众团体事务支出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208</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社会保障和就业支出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20805</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行政事业单位养老支出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2080505</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2080506</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机关事业单位职业年金缴费支出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210</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卫生健康支出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21011</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行政事业单位医疗</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2101102</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事业单位医疗</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2101103</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公务员医疗补助</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221</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住房保障支出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22102</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住房改革支出</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2210201</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0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0"/>
                <w:szCs w:val="20"/>
                <w:u w:val="none"/>
                <w:lang w:val="en-US" w:eastAsia="zh-CN" w:bidi="ar"/>
              </w:rPr>
              <w:t>　　2210203</w:t>
            </w:r>
          </w:p>
        </w:tc>
        <w:tc>
          <w:tcPr>
            <w:tcW w:w="48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购房补贴</w:t>
            </w:r>
          </w:p>
        </w:tc>
        <w:tc>
          <w:tcPr>
            <w:tcW w:w="15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9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2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bl>
    <w:p>
      <w:pPr>
        <w:pStyle w:val="2"/>
        <w:rPr>
          <w:rFonts w:hint="eastAsia" w:ascii="仿宋_GB2312" w:hAnsi="仿宋_GB2312" w:eastAsia="仿宋_GB2312" w:cs="仿宋_GB2312"/>
        </w:rPr>
        <w:sectPr>
          <w:pgSz w:w="16838" w:h="11906" w:orient="landscape"/>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4</w:t>
      </w:r>
    </w:p>
    <w:p>
      <w:pPr>
        <w:pStyle w:val="2"/>
        <w:jc w:val="center"/>
        <w:outlineLvl w:val="1"/>
        <w:rPr>
          <w:rFonts w:hint="eastAsia" w:ascii="仿宋_GB2312" w:hAnsi="仿宋_GB2312" w:eastAsia="仿宋_GB2312" w:cs="仿宋_GB2312"/>
          <w:lang w:val="en-US" w:eastAsia="zh-CN"/>
        </w:rPr>
      </w:pPr>
      <w:bookmarkStart w:id="23" w:name="_Toc16162"/>
      <w:bookmarkStart w:id="24" w:name="_Toc5355"/>
      <w:r>
        <w:rPr>
          <w:rFonts w:hint="eastAsia" w:ascii="仿宋_GB2312" w:hAnsi="仿宋_GB2312" w:eastAsia="仿宋_GB2312" w:cs="仿宋_GB2312"/>
          <w:i w:val="0"/>
          <w:iCs w:val="0"/>
          <w:color w:val="000000"/>
          <w:kern w:val="0"/>
          <w:sz w:val="44"/>
          <w:szCs w:val="44"/>
          <w:u w:val="none"/>
          <w:lang w:val="en-US" w:eastAsia="zh-CN" w:bidi="ar"/>
        </w:rPr>
        <w:t>2023</w:t>
      </w:r>
      <w:bookmarkEnd w:id="23"/>
      <w:bookmarkEnd w:id="24"/>
      <w:r>
        <w:rPr>
          <w:rFonts w:ascii="仿宋_GB2312" w:hAnsi="仿宋_GB2312" w:eastAsia="仿宋_GB2312" w:cs="仿宋_GB2312"/>
          <w:color w:val="000000"/>
          <w:sz w:val="44"/>
        </w:rPr>
        <w:t>年单位财政拨款收支预算总表</w:t>
      </w:r>
    </w:p>
    <w:tbl>
      <w:tblPr>
        <w:tblStyle w:val="13"/>
        <w:tblW w:w="11148" w:type="dxa"/>
        <w:tblInd w:w="-1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182"/>
        <w:gridCol w:w="1395"/>
        <w:gridCol w:w="4161"/>
        <w:gridCol w:w="14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738" w:type="dxa"/>
            <w:gridSpan w:val="3"/>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41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5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收                    入</w:t>
            </w:r>
          </w:p>
        </w:tc>
        <w:tc>
          <w:tcPr>
            <w:tcW w:w="557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项       目</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预算数</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    目</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一、财政拨款</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一般公共服务支出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一般公共预算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群众团体事务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政府性基金预算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事业运行</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国有资本经营预算</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其他群众团体事务支出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社会保障和就业支出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行政事业单位养老支出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机关事业单位职业年金缴费支出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卫生健康支出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行政事业单位医疗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事业单位医疗</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公务员医疗补助</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住房保障支出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住房改革支出</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53.23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购房补贴</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 w:hRule="atLeast"/>
        </w:trPr>
        <w:tc>
          <w:tcPr>
            <w:tcW w:w="41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收  入  总  计</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4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支  出  总  计</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880.59</w:t>
            </w:r>
          </w:p>
        </w:tc>
      </w:tr>
    </w:tbl>
    <w:p>
      <w:pPr>
        <w:rPr>
          <w:rFonts w:hint="eastAsia" w:ascii="仿宋_GB2312" w:hAnsi="仿宋_GB2312" w:eastAsia="仿宋_GB2312" w:cs="仿宋_GB2312"/>
        </w:rPr>
      </w:pPr>
    </w:p>
    <w:p>
      <w:pPr>
        <w:pStyle w:val="2"/>
        <w:rPr>
          <w:rFonts w:hint="eastAsia" w:ascii="仿宋_GB2312" w:hAnsi="仿宋_GB2312" w:eastAsia="仿宋_GB2312" w:cs="仿宋_GB2312"/>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5</w:t>
      </w:r>
    </w:p>
    <w:p>
      <w:pPr>
        <w:pStyle w:val="2"/>
        <w:jc w:val="center"/>
        <w:outlineLvl w:val="1"/>
        <w:rPr>
          <w:rFonts w:hint="eastAsia" w:ascii="仿宋_GB2312" w:hAnsi="仿宋_GB2312" w:eastAsia="仿宋_GB2312" w:cs="仿宋_GB2312"/>
          <w:lang w:val="en-US" w:eastAsia="zh-CN"/>
        </w:rPr>
      </w:pPr>
      <w:bookmarkStart w:id="25" w:name="_Toc11424"/>
      <w:bookmarkStart w:id="26" w:name="_Toc29270"/>
      <w:r>
        <w:rPr>
          <w:rFonts w:hint="eastAsia" w:ascii="仿宋_GB2312" w:hAnsi="仿宋_GB2312" w:eastAsia="仿宋_GB2312" w:cs="仿宋_GB2312"/>
          <w:i w:val="0"/>
          <w:iCs w:val="0"/>
          <w:color w:val="000000"/>
          <w:kern w:val="0"/>
          <w:sz w:val="44"/>
          <w:szCs w:val="44"/>
          <w:u w:val="none"/>
          <w:lang w:val="en-US" w:eastAsia="zh-CN" w:bidi="ar"/>
        </w:rPr>
        <w:t>2023</w:t>
      </w:r>
      <w:bookmarkEnd w:id="25"/>
      <w:bookmarkEnd w:id="26"/>
      <w:r>
        <w:rPr>
          <w:rFonts w:ascii="仿宋_GB2312" w:hAnsi="仿宋_GB2312" w:eastAsia="仿宋_GB2312" w:cs="仿宋_GB2312"/>
          <w:color w:val="000000"/>
          <w:sz w:val="44"/>
        </w:rPr>
        <w:t>年单位一般公共预算支出表</w:t>
      </w:r>
    </w:p>
    <w:tbl>
      <w:tblPr>
        <w:tblStyle w:val="13"/>
        <w:tblW w:w="104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0"/>
        <w:gridCol w:w="2696"/>
        <w:gridCol w:w="1516"/>
        <w:gridCol w:w="1373"/>
        <w:gridCol w:w="1329"/>
        <w:gridCol w:w="1121"/>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314" w:type="dxa"/>
            <w:gridSpan w:val="5"/>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2146"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 w:hRule="atLeast"/>
        </w:trPr>
        <w:tc>
          <w:tcPr>
            <w:tcW w:w="1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26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1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  计</w:t>
            </w:r>
          </w:p>
        </w:tc>
        <w:tc>
          <w:tcPr>
            <w:tcW w:w="382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基本支出</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26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小计</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人员经费</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公用经费</w:t>
            </w: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2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5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3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3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11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269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ascii="仿宋_GB2312" w:hAnsi="仿宋_GB2312" w:eastAsia="仿宋_GB2312" w:cs="仿宋_GB2312"/>
                <w:color w:val="000000"/>
                <w:sz w:val="20"/>
              </w:rPr>
              <w:t>合计</w:t>
            </w:r>
          </w:p>
        </w:tc>
        <w:tc>
          <w:tcPr>
            <w:tcW w:w="15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880.59</w:t>
            </w:r>
          </w:p>
        </w:tc>
        <w:tc>
          <w:tcPr>
            <w:tcW w:w="137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731.79</w:t>
            </w:r>
          </w:p>
        </w:tc>
        <w:tc>
          <w:tcPr>
            <w:tcW w:w="132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668.88</w:t>
            </w:r>
          </w:p>
        </w:tc>
        <w:tc>
          <w:tcPr>
            <w:tcW w:w="112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201</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一般公共服务支出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705.46</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20129</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群众团体事务</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705.46</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2012950</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事业运行</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556.66</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493.75</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62.91</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2012999</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其他群众团体事务支出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208</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社会保障和就业支出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20805</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行政事业单位养老支出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74.58</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2080505</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2080506</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机关事业单位职业年金缴费支出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210</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卫生健康支出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21011</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行政事业单位医疗</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35.82</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2101102</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事业单位医疗</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2101103</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公务员医疗补助</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221</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住房保障支出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22102</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住房改革支出</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64.73</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2210201</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400"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2210203</w:t>
            </w:r>
          </w:p>
        </w:tc>
        <w:tc>
          <w:tcPr>
            <w:tcW w:w="2696"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购房补贴</w:t>
            </w:r>
          </w:p>
        </w:tc>
        <w:tc>
          <w:tcPr>
            <w:tcW w:w="1516"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373"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329"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121"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bl>
    <w:p>
      <w:pPr>
        <w:pStyle w:val="2"/>
        <w:rPr>
          <w:rFonts w:hint="eastAsia" w:ascii="仿宋_GB2312" w:hAnsi="仿宋_GB2312" w:eastAsia="仿宋_GB2312" w:cs="仿宋_GB2312"/>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6</w:t>
      </w:r>
    </w:p>
    <w:p>
      <w:pPr>
        <w:pStyle w:val="2"/>
        <w:jc w:val="center"/>
        <w:outlineLvl w:val="1"/>
        <w:rPr>
          <w:rFonts w:hint="eastAsia" w:ascii="仿宋_GB2312" w:hAnsi="仿宋_GB2312" w:eastAsia="仿宋_GB2312" w:cs="仿宋_GB2312"/>
          <w:lang w:eastAsia="zh-CN"/>
        </w:rPr>
      </w:pPr>
      <w:bookmarkStart w:id="27" w:name="_Toc2322"/>
      <w:bookmarkStart w:id="28" w:name="_Toc8807"/>
      <w:r>
        <w:rPr>
          <w:rFonts w:hint="eastAsia" w:ascii="仿宋_GB2312" w:hAnsi="仿宋_GB2312" w:eastAsia="仿宋_GB2312" w:cs="仿宋_GB2312"/>
          <w:i w:val="0"/>
          <w:iCs w:val="0"/>
          <w:color w:val="000000"/>
          <w:kern w:val="0"/>
          <w:sz w:val="44"/>
          <w:szCs w:val="44"/>
          <w:u w:val="none"/>
          <w:lang w:val="en-US" w:eastAsia="zh-CN" w:bidi="ar"/>
        </w:rPr>
        <w:t>2023</w:t>
      </w:r>
      <w:bookmarkEnd w:id="27"/>
      <w:bookmarkEnd w:id="28"/>
      <w:r>
        <w:rPr>
          <w:rFonts w:ascii="仿宋_GB2312" w:hAnsi="仿宋_GB2312" w:eastAsia="仿宋_GB2312" w:cs="仿宋_GB2312"/>
          <w:color w:val="000000"/>
          <w:sz w:val="44"/>
        </w:rPr>
        <w:t>年单位一般公共预算基本支出表</w:t>
      </w:r>
    </w:p>
    <w:tbl>
      <w:tblPr>
        <w:tblStyle w:val="13"/>
        <w:tblW w:w="104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1"/>
        <w:gridCol w:w="3861"/>
        <w:gridCol w:w="1657"/>
        <w:gridCol w:w="1748"/>
        <w:gridCol w:w="15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8927" w:type="dxa"/>
            <w:gridSpan w:val="4"/>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53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经济分类科目</w:t>
            </w:r>
          </w:p>
        </w:tc>
        <w:tc>
          <w:tcPr>
            <w:tcW w:w="49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本年一般公共预算基本支出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38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合计</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人员经费</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3861"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6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仿宋_GB2312" w:hAnsi="仿宋_GB2312" w:eastAsia="仿宋_GB2312" w:cs="仿宋_GB2312"/>
                <w:i w:val="0"/>
                <w:iCs w:val="0"/>
                <w:color w:val="000000"/>
                <w:sz w:val="20"/>
                <w:szCs w:val="20"/>
                <w:u w:val="none"/>
              </w:rPr>
            </w:pP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合计</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731.79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668.88</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工资福利支出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669.38</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666.38</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基本工资</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122.83</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122.83</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30102</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津贴补贴</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11.50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奖金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119.59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119.59</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30107</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绩效工资</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187.88</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187.88</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30108</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机关事业单位基本养老保险缴费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49.72</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30109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职业年金缴费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24.86</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30110</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职工基本医疗保险缴费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20.31</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30111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公务员医疗补助缴费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15.51</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30112</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其他社会保障缴费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5.49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5.49</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30113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住房公积金</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53.23</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30199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其他工资福利支出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58.46</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55.46</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302</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商品和服务支出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60.01</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办公费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11.07</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30202</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印刷费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咨询费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30204</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手续费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0.05</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30207</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邮电费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30211</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差旅费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维修(护)费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30216</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培训费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30217</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公务接待费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0.90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30218</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专用材料费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30226</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劳务费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30227</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委托业务费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30228</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工会经费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6.00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30229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福利费</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18.30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30299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其他商品和服务支出</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4.29</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0.10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303</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对个人和家庭的补助</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2.40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30305</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生活补助</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1.70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30399</w:t>
            </w:r>
          </w:p>
        </w:tc>
        <w:tc>
          <w:tcPr>
            <w:tcW w:w="3861"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　其他对个人和家庭的补助</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0.70</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0.70</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bl>
    <w:p>
      <w:pPr>
        <w:pStyle w:val="2"/>
        <w:rPr>
          <w:rFonts w:hint="eastAsia" w:ascii="仿宋_GB2312" w:hAnsi="仿宋_GB2312" w:eastAsia="仿宋_GB2312" w:cs="仿宋_GB2312"/>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7</w:t>
      </w:r>
    </w:p>
    <w:p>
      <w:pPr>
        <w:pStyle w:val="2"/>
        <w:jc w:val="center"/>
        <w:outlineLvl w:val="1"/>
        <w:rPr>
          <w:rFonts w:hint="eastAsia" w:ascii="仿宋_GB2312" w:hAnsi="仿宋_GB2312" w:eastAsia="仿宋_GB2312" w:cs="仿宋_GB2312"/>
          <w:lang w:val="en-US" w:eastAsia="zh-CN"/>
        </w:rPr>
      </w:pPr>
      <w:bookmarkStart w:id="29" w:name="_Toc23813"/>
      <w:bookmarkStart w:id="30" w:name="_Toc18187"/>
      <w:r>
        <w:rPr>
          <w:rFonts w:hint="eastAsia" w:ascii="仿宋_GB2312" w:hAnsi="仿宋_GB2312" w:eastAsia="仿宋_GB2312" w:cs="仿宋_GB2312"/>
          <w:i w:val="0"/>
          <w:iCs w:val="0"/>
          <w:color w:val="000000"/>
          <w:kern w:val="0"/>
          <w:sz w:val="44"/>
          <w:szCs w:val="44"/>
          <w:u w:val="none"/>
          <w:lang w:val="en-US" w:eastAsia="zh-CN" w:bidi="ar"/>
        </w:rPr>
        <w:t>2023</w:t>
      </w:r>
      <w:bookmarkEnd w:id="29"/>
      <w:bookmarkEnd w:id="30"/>
      <w:r>
        <w:rPr>
          <w:rFonts w:ascii="仿宋_GB2312" w:hAnsi="仿宋_GB2312" w:eastAsia="仿宋_GB2312" w:cs="仿宋_GB2312"/>
          <w:color w:val="000000"/>
          <w:sz w:val="44"/>
        </w:rPr>
        <w:t>年单位一般公共预算"三公"经费支出表</w:t>
      </w:r>
    </w:p>
    <w:tbl>
      <w:tblPr>
        <w:tblStyle w:val="13"/>
        <w:tblW w:w="4877" w:type="pct"/>
        <w:tblInd w:w="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71"/>
        <w:gridCol w:w="1317"/>
        <w:gridCol w:w="1331"/>
        <w:gridCol w:w="1291"/>
        <w:gridCol w:w="1083"/>
        <w:gridCol w:w="1165"/>
        <w:gridCol w:w="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979" w:type="pct"/>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020" w:type="pct"/>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 w:hRule="atLeast"/>
        </w:trPr>
        <w:tc>
          <w:tcPr>
            <w:tcW w:w="15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6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“三公”经费合计</w:t>
            </w:r>
          </w:p>
        </w:tc>
        <w:tc>
          <w:tcPr>
            <w:tcW w:w="6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因公出国(境)费用</w:t>
            </w:r>
          </w:p>
        </w:tc>
        <w:tc>
          <w:tcPr>
            <w:tcW w:w="1698"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公务用车购置及运行费</w:t>
            </w:r>
          </w:p>
        </w:tc>
        <w:tc>
          <w:tcPr>
            <w:tcW w:w="4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6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6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小计</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公务用车购置费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公务用车运行维护费</w:t>
            </w:r>
          </w:p>
        </w:tc>
        <w:tc>
          <w:tcPr>
            <w:tcW w:w="4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 w:hRule="atLeast"/>
        </w:trPr>
        <w:tc>
          <w:tcPr>
            <w:tcW w:w="1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7" w:hRule="atLeast"/>
        </w:trPr>
        <w:tc>
          <w:tcPr>
            <w:tcW w:w="1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ascii="仿宋_GB2312" w:hAnsi="仿宋_GB2312" w:eastAsia="仿宋_GB2312" w:cs="仿宋_GB2312"/>
                <w:color w:val="000000"/>
                <w:sz w:val="20"/>
              </w:rPr>
              <w:t>合计</w:t>
            </w:r>
          </w:p>
        </w:tc>
        <w:tc>
          <w:tcPr>
            <w:tcW w:w="6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0.90</w:t>
            </w:r>
          </w:p>
        </w:tc>
        <w:tc>
          <w:tcPr>
            <w:tcW w:w="6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6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0.90</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5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46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0.90</w:t>
            </w:r>
          </w:p>
        </w:tc>
      </w:tr>
    </w:tbl>
    <w:p>
      <w:pP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备注：根据《温州市财政局关于明确因公出国（境）经费审批意见的通知》（温财外〔2018〕41号）文件精神，因公出国（境）经费实行归口管理，由市财政统筹安排，不再单独安排预算进行公开。</w:t>
      </w:r>
    </w:p>
    <w:p>
      <w:pPr>
        <w:pStyle w:val="2"/>
        <w:rPr>
          <w:rFonts w:hint="eastAsia" w:ascii="仿宋_GB2312" w:hAnsi="仿宋_GB2312" w:eastAsia="仿宋_GB2312" w:cs="仿宋_GB2312"/>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8</w:t>
      </w:r>
    </w:p>
    <w:p>
      <w:pPr>
        <w:pStyle w:val="2"/>
        <w:jc w:val="center"/>
        <w:outlineLvl w:val="1"/>
        <w:rPr>
          <w:rFonts w:hint="eastAsia" w:ascii="仿宋_GB2312" w:hAnsi="仿宋_GB2312" w:eastAsia="仿宋_GB2312" w:cs="仿宋_GB2312"/>
          <w:lang w:val="en-US" w:eastAsia="zh-CN"/>
        </w:rPr>
      </w:pPr>
      <w:bookmarkStart w:id="31" w:name="_Toc23849"/>
      <w:bookmarkStart w:id="32" w:name="_Toc20771"/>
      <w:r>
        <w:rPr>
          <w:rFonts w:hint="eastAsia" w:ascii="仿宋_GB2312" w:hAnsi="仿宋_GB2312" w:eastAsia="仿宋_GB2312" w:cs="仿宋_GB2312"/>
          <w:i w:val="0"/>
          <w:iCs w:val="0"/>
          <w:color w:val="000000"/>
          <w:kern w:val="0"/>
          <w:sz w:val="44"/>
          <w:szCs w:val="44"/>
          <w:u w:val="none"/>
          <w:lang w:val="en-US" w:eastAsia="zh-CN" w:bidi="ar"/>
        </w:rPr>
        <w:t>2023</w:t>
      </w:r>
      <w:bookmarkEnd w:id="31"/>
      <w:bookmarkEnd w:id="32"/>
      <w:r>
        <w:rPr>
          <w:rFonts w:ascii="仿宋_GB2312" w:hAnsi="仿宋_GB2312" w:eastAsia="仿宋_GB2312" w:cs="仿宋_GB2312"/>
          <w:color w:val="000000"/>
          <w:sz w:val="44"/>
        </w:rPr>
        <w:t>年单位政府性基金预算支出表</w:t>
      </w:r>
    </w:p>
    <w:tbl>
      <w:tblPr>
        <w:tblStyle w:val="13"/>
        <w:tblW w:w="4902" w:type="pct"/>
        <w:tblInd w:w="11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8"/>
        <w:gridCol w:w="4318"/>
        <w:gridCol w:w="2008"/>
        <w:gridCol w:w="1305"/>
        <w:gridCol w:w="1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4396" w:type="pct"/>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603" w:type="pct"/>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 w:hRule="atLeast"/>
        </w:trPr>
        <w:tc>
          <w:tcPr>
            <w:tcW w:w="7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206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218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206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  计</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基本支出</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 w:hRule="atLeast"/>
        </w:trPr>
        <w:tc>
          <w:tcPr>
            <w:tcW w:w="7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206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9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6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753" w:type="pct"/>
            <w:tcBorders>
              <w:top w:val="single" w:color="000000" w:sz="4" w:space="0"/>
              <w:left w:val="single" w:color="000000" w:sz="4" w:space="0"/>
              <w:bottom w:val="single" w:color="000000" w:sz="4" w:space="0"/>
              <w:right w:val="nil"/>
            </w:tcBorders>
            <w:shd w:val="clear" w:color="auto" w:fill="auto"/>
            <w:vAlign w:val="center"/>
          </w:tcPr>
          <w:p>
            <w:pPr>
              <w:jc w:val="left"/>
              <w:rPr>
                <w:rFonts w:hint="eastAsia" w:ascii="仿宋_GB2312" w:hAnsi="仿宋_GB2312" w:eastAsia="仿宋_GB2312" w:cs="仿宋_GB2312"/>
                <w:i w:val="0"/>
                <w:iCs w:val="0"/>
                <w:color w:val="000000"/>
                <w:sz w:val="20"/>
                <w:szCs w:val="20"/>
                <w:u w:val="none"/>
              </w:rPr>
            </w:pPr>
          </w:p>
        </w:tc>
        <w:tc>
          <w:tcPr>
            <w:tcW w:w="206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合计</w:t>
            </w:r>
          </w:p>
        </w:tc>
        <w:tc>
          <w:tcPr>
            <w:tcW w:w="95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622"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206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95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22"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53"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2061"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958"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22"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bl>
    <w:p>
      <w:pPr>
        <w:pStyle w:val="2"/>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eastAsia="zh-CN"/>
        </w:rPr>
        <w:t>备注：</w:t>
      </w:r>
      <w:r>
        <w:rPr>
          <w:rFonts w:ascii="仿宋_GB2312" w:hAnsi="仿宋_GB2312" w:eastAsia="仿宋_GB2312" w:cs="仿宋_GB2312"/>
          <w:sz w:val="20"/>
        </w:rPr>
        <w:t>温州市妇女儿童活动中心</w:t>
      </w:r>
      <w:r>
        <w:rPr>
          <w:rFonts w:hint="eastAsia" w:ascii="仿宋_GB2312" w:hAnsi="仿宋_GB2312" w:eastAsia="仿宋_GB2312" w:cs="仿宋_GB2312"/>
          <w:sz w:val="20"/>
          <w:szCs w:val="20"/>
        </w:rPr>
        <w:t>没有</w:t>
      </w:r>
      <w:r>
        <w:rPr>
          <w:rFonts w:hint="eastAsia" w:ascii="仿宋_GB2312" w:hAnsi="仿宋_GB2312" w:eastAsia="仿宋_GB2312" w:cs="仿宋_GB2312"/>
          <w:sz w:val="20"/>
          <w:szCs w:val="20"/>
          <w:lang w:val="en-US" w:eastAsia="zh-CN"/>
        </w:rPr>
        <w:t>政府性基金预算</w:t>
      </w:r>
      <w:r>
        <w:rPr>
          <w:rFonts w:hint="eastAsia" w:ascii="仿宋_GB2312" w:hAnsi="仿宋_GB2312" w:eastAsia="仿宋_GB2312" w:cs="仿宋_GB2312"/>
          <w:sz w:val="20"/>
          <w:szCs w:val="20"/>
        </w:rPr>
        <w:t>拨款安排的支出，故本表无数据。</w:t>
      </w:r>
    </w:p>
    <w:p>
      <w:pPr>
        <w:pStyle w:val="2"/>
        <w:rPr>
          <w:rFonts w:hint="eastAsia" w:ascii="仿宋_GB2312" w:hAnsi="仿宋_GB2312" w:eastAsia="仿宋_GB2312" w:cs="仿宋_GB2312"/>
          <w:sz w:val="20"/>
          <w:szCs w:val="20"/>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9</w:t>
      </w:r>
    </w:p>
    <w:p>
      <w:pPr>
        <w:pStyle w:val="2"/>
        <w:jc w:val="center"/>
        <w:outlineLvl w:val="1"/>
        <w:rPr>
          <w:rFonts w:hint="eastAsia" w:ascii="仿宋_GB2312" w:hAnsi="仿宋_GB2312" w:eastAsia="仿宋_GB2312" w:cs="仿宋_GB2312"/>
          <w:lang w:val="en-US" w:eastAsia="zh-CN"/>
        </w:rPr>
      </w:pPr>
      <w:bookmarkStart w:id="33" w:name="_Toc27907"/>
      <w:bookmarkStart w:id="34" w:name="_Toc23415"/>
      <w:r>
        <w:rPr>
          <w:rFonts w:hint="eastAsia" w:ascii="仿宋_GB2312" w:hAnsi="仿宋_GB2312" w:eastAsia="仿宋_GB2312" w:cs="仿宋_GB2312"/>
          <w:i w:val="0"/>
          <w:iCs w:val="0"/>
          <w:color w:val="000000"/>
          <w:kern w:val="0"/>
          <w:sz w:val="44"/>
          <w:szCs w:val="44"/>
          <w:u w:val="none"/>
          <w:lang w:val="en-US" w:eastAsia="zh-CN" w:bidi="ar"/>
        </w:rPr>
        <w:t>2023</w:t>
      </w:r>
      <w:bookmarkEnd w:id="33"/>
      <w:bookmarkEnd w:id="34"/>
      <w:r>
        <w:rPr>
          <w:rFonts w:ascii="仿宋_GB2312" w:hAnsi="仿宋_GB2312" w:eastAsia="仿宋_GB2312" w:cs="仿宋_GB2312"/>
          <w:color w:val="000000"/>
          <w:sz w:val="44"/>
        </w:rPr>
        <w:t>年单位国有资本经营预算支出表</w:t>
      </w:r>
    </w:p>
    <w:tbl>
      <w:tblPr>
        <w:tblStyle w:val="13"/>
        <w:tblW w:w="4872" w:type="pct"/>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30"/>
        <w:gridCol w:w="5440"/>
        <w:gridCol w:w="2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17" w:hRule="atLeast"/>
        </w:trPr>
        <w:tc>
          <w:tcPr>
            <w:tcW w:w="3684" w:type="pct"/>
            <w:gridSpan w:val="2"/>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315"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7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科目编码</w:t>
            </w:r>
          </w:p>
        </w:tc>
        <w:tc>
          <w:tcPr>
            <w:tcW w:w="261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科目名称</w:t>
            </w:r>
          </w:p>
        </w:tc>
        <w:tc>
          <w:tcPr>
            <w:tcW w:w="131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7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u w:val="none"/>
              </w:rPr>
            </w:pPr>
          </w:p>
        </w:tc>
        <w:tc>
          <w:tcPr>
            <w:tcW w:w="261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u w:val="none"/>
              </w:rPr>
            </w:pPr>
          </w:p>
        </w:tc>
        <w:tc>
          <w:tcPr>
            <w:tcW w:w="131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2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_GB2312" w:hAnsi="仿宋_GB2312" w:eastAsia="仿宋_GB2312" w:cs="仿宋_GB2312"/>
                <w:i w:val="0"/>
                <w:iCs w:val="0"/>
                <w:color w:val="000000"/>
                <w:sz w:val="20"/>
                <w:szCs w:val="20"/>
                <w:u w:val="none"/>
              </w:rPr>
            </w:pPr>
          </w:p>
        </w:tc>
        <w:tc>
          <w:tcPr>
            <w:tcW w:w="2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合计</w:t>
            </w: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2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3" w:hRule="atLeast"/>
        </w:trPr>
        <w:tc>
          <w:tcPr>
            <w:tcW w:w="10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26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1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bl>
    <w:p>
      <w:pPr>
        <w:pStyle w:val="2"/>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eastAsia="zh-CN"/>
        </w:rPr>
        <w:t>备注：</w:t>
      </w:r>
      <w:r>
        <w:rPr>
          <w:rFonts w:ascii="仿宋_GB2312" w:hAnsi="仿宋_GB2312" w:eastAsia="仿宋_GB2312" w:cs="仿宋_GB2312"/>
          <w:sz w:val="20"/>
        </w:rPr>
        <w:t>温州市妇女儿童活动中心</w:t>
      </w:r>
      <w:r>
        <w:rPr>
          <w:rFonts w:hint="eastAsia" w:ascii="仿宋_GB2312" w:hAnsi="仿宋_GB2312" w:eastAsia="仿宋_GB2312" w:cs="仿宋_GB2312"/>
          <w:sz w:val="20"/>
          <w:szCs w:val="20"/>
        </w:rPr>
        <w:t>没有国有资本经营预算拨款安排的支出，故本表无数据。</w:t>
      </w:r>
    </w:p>
    <w:p>
      <w:pPr>
        <w:pStyle w:val="2"/>
        <w:rPr>
          <w:rFonts w:hint="eastAsia" w:ascii="仿宋_GB2312" w:hAnsi="仿宋_GB2312" w:eastAsia="仿宋_GB2312" w:cs="仿宋_GB2312"/>
          <w:sz w:val="20"/>
          <w:szCs w:val="20"/>
          <w:lang w:val="en-US" w:eastAsia="zh-CN"/>
        </w:rPr>
        <w:sectPr>
          <w:pgSz w:w="11906" w:h="16838"/>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10</w:t>
      </w:r>
    </w:p>
    <w:p>
      <w:pPr>
        <w:pStyle w:val="2"/>
        <w:jc w:val="center"/>
        <w:outlineLvl w:val="1"/>
        <w:rPr>
          <w:rFonts w:hint="eastAsia" w:ascii="仿宋_GB2312" w:hAnsi="仿宋_GB2312" w:eastAsia="仿宋_GB2312" w:cs="仿宋_GB2312"/>
          <w:lang w:val="en-US" w:eastAsia="zh-CN"/>
        </w:rPr>
      </w:pPr>
      <w:bookmarkStart w:id="35" w:name="_Toc19535"/>
      <w:bookmarkStart w:id="36" w:name="_Toc17500"/>
      <w:r>
        <w:rPr>
          <w:rFonts w:hint="eastAsia" w:ascii="仿宋_GB2312" w:hAnsi="仿宋_GB2312" w:eastAsia="仿宋_GB2312" w:cs="仿宋_GB2312"/>
          <w:i w:val="0"/>
          <w:iCs w:val="0"/>
          <w:color w:val="000000"/>
          <w:kern w:val="0"/>
          <w:sz w:val="44"/>
          <w:szCs w:val="44"/>
          <w:u w:val="none"/>
          <w:lang w:val="en-US" w:eastAsia="zh-CN" w:bidi="ar"/>
        </w:rPr>
        <w:t>2023</w:t>
      </w:r>
      <w:bookmarkEnd w:id="35"/>
      <w:bookmarkEnd w:id="36"/>
      <w:r>
        <w:rPr>
          <w:rFonts w:ascii="仿宋_GB2312" w:hAnsi="仿宋_GB2312" w:eastAsia="仿宋_GB2312" w:cs="仿宋_GB2312"/>
          <w:color w:val="000000"/>
          <w:sz w:val="44"/>
        </w:rPr>
        <w:t>年单位项目支出预算表</w:t>
      </w:r>
    </w:p>
    <w:tbl>
      <w:tblPr>
        <w:tblStyle w:val="13"/>
        <w:tblW w:w="4907" w:type="pct"/>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35"/>
        <w:gridCol w:w="4460"/>
        <w:gridCol w:w="1527"/>
        <w:gridCol w:w="1460"/>
        <w:gridCol w:w="1279"/>
        <w:gridCol w:w="1161"/>
        <w:gridCol w:w="1160"/>
        <w:gridCol w:w="10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009" w:type="pct"/>
            <w:gridSpan w:val="3"/>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1990" w:type="pct"/>
            <w:gridSpan w:val="5"/>
            <w:tcBorders>
              <w:top w:val="nil"/>
              <w:left w:val="nil"/>
              <w:bottom w:val="nil"/>
              <w:right w:val="nil"/>
            </w:tcBorders>
            <w:shd w:val="clear" w:color="auto" w:fill="auto"/>
            <w:noWrap/>
            <w:vAlign w:val="bottom"/>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14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项目名称</w:t>
            </w:r>
          </w:p>
        </w:tc>
        <w:tc>
          <w:tcPr>
            <w:tcW w:w="49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总计</w:t>
            </w:r>
          </w:p>
        </w:tc>
        <w:tc>
          <w:tcPr>
            <w:tcW w:w="47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一般公共预算</w:t>
            </w:r>
          </w:p>
        </w:tc>
        <w:tc>
          <w:tcPr>
            <w:tcW w:w="41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政府性基金</w:t>
            </w: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国有资本</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经营预算</w:t>
            </w: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财政专户</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管理资金</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0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0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9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7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41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1455"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w:t>
            </w:r>
          </w:p>
        </w:tc>
        <w:tc>
          <w:tcPr>
            <w:tcW w:w="49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476"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417"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37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37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339"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5" w:type="pct"/>
            <w:tcBorders>
              <w:top w:val="single" w:color="000000" w:sz="4" w:space="0"/>
              <w:left w:val="single" w:color="000000" w:sz="4" w:space="0"/>
              <w:bottom w:val="single" w:color="000000" w:sz="4" w:space="0"/>
              <w:right w:val="nil"/>
            </w:tcBorders>
            <w:shd w:val="clear" w:color="auto" w:fill="auto"/>
            <w:noWrap/>
            <w:vAlign w:val="center"/>
          </w:tcPr>
          <w:p>
            <w:pPr>
              <w:jc w:val="left"/>
              <w:rPr>
                <w:rFonts w:hint="eastAsia" w:ascii="仿宋_GB2312" w:hAnsi="仿宋_GB2312" w:eastAsia="仿宋_GB2312" w:cs="仿宋_GB2312"/>
                <w:i w:val="0"/>
                <w:iCs w:val="0"/>
                <w:color w:val="000000"/>
                <w:sz w:val="20"/>
                <w:szCs w:val="20"/>
                <w:u w:val="none"/>
              </w:rPr>
            </w:pPr>
          </w:p>
        </w:tc>
        <w:tc>
          <w:tcPr>
            <w:tcW w:w="1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合计</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148.80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894.50</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1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校外教育</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616.80</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34.80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582.00</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5" w:type="pct"/>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1455"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校外教育支持与保障</w:t>
            </w:r>
          </w:p>
        </w:tc>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426.50</w:t>
            </w:r>
          </w:p>
        </w:tc>
        <w:tc>
          <w:tcPr>
            <w:tcW w:w="4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114.00</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312.50</w:t>
            </w:r>
          </w:p>
        </w:tc>
        <w:tc>
          <w:tcPr>
            <w:tcW w:w="3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p>
        </w:tc>
      </w:tr>
    </w:tbl>
    <w:p>
      <w:pPr>
        <w:pStyle w:val="2"/>
        <w:rPr>
          <w:rFonts w:hint="eastAsia" w:ascii="仿宋_GB2312" w:hAnsi="仿宋_GB2312" w:eastAsia="仿宋_GB2312" w:cs="仿宋_GB2312"/>
        </w:rPr>
        <w:sectPr>
          <w:pgSz w:w="16838" w:h="11906" w:orient="landscape"/>
          <w:pgMar w:top="720" w:right="720" w:bottom="720" w:left="720" w:header="851" w:footer="992" w:gutter="0"/>
          <w:pgNumType w:fmt="decimal"/>
          <w:cols w:space="425" w:num="1"/>
          <w:docGrid w:type="lines" w:linePitch="312" w:charSpace="0"/>
        </w:sectPr>
      </w:pPr>
    </w:p>
    <w:p>
      <w:pPr>
        <w:jc w:val="right"/>
        <w:rPr>
          <w:rFonts w:hint="eastAsia" w:ascii="仿宋_GB2312" w:hAnsi="仿宋_GB2312" w:eastAsia="仿宋_GB2312" w:cs="仿宋_GB2312"/>
          <w:bCs/>
          <w:szCs w:val="21"/>
          <w:lang w:val="en-US" w:eastAsia="zh-CN"/>
        </w:rPr>
      </w:pPr>
      <w:r>
        <w:rPr>
          <w:rFonts w:hint="eastAsia" w:ascii="仿宋_GB2312" w:hAnsi="仿宋_GB2312" w:eastAsia="仿宋_GB2312" w:cs="仿宋_GB2312"/>
          <w:bCs/>
          <w:szCs w:val="21"/>
        </w:rPr>
        <w:t>公开表</w:t>
      </w:r>
      <w:r>
        <w:rPr>
          <w:rFonts w:hint="eastAsia" w:ascii="仿宋_GB2312" w:hAnsi="仿宋_GB2312" w:eastAsia="仿宋_GB2312" w:cs="仿宋_GB2312"/>
          <w:bCs/>
          <w:szCs w:val="21"/>
          <w:lang w:val="en-US" w:eastAsia="zh-CN"/>
        </w:rPr>
        <w:t>11</w:t>
      </w:r>
    </w:p>
    <w:p>
      <w:pPr>
        <w:pStyle w:val="2"/>
        <w:jc w:val="center"/>
        <w:outlineLvl w:val="1"/>
        <w:rPr>
          <w:rFonts w:hint="eastAsia" w:ascii="仿宋_GB2312" w:hAnsi="仿宋_GB2312" w:eastAsia="仿宋_GB2312" w:cs="仿宋_GB2312"/>
          <w:lang w:val="en-US" w:eastAsia="zh-CN"/>
        </w:rPr>
      </w:pPr>
      <w:bookmarkStart w:id="37" w:name="_Toc28950"/>
      <w:bookmarkStart w:id="38" w:name="_Toc16042"/>
      <w:r>
        <w:rPr>
          <w:rFonts w:hint="eastAsia" w:ascii="仿宋_GB2312" w:hAnsi="仿宋_GB2312" w:eastAsia="仿宋_GB2312" w:cs="仿宋_GB2312"/>
          <w:i w:val="0"/>
          <w:iCs w:val="0"/>
          <w:color w:val="000000"/>
          <w:kern w:val="0"/>
          <w:sz w:val="44"/>
          <w:szCs w:val="44"/>
          <w:u w:val="none"/>
          <w:lang w:val="en-US" w:eastAsia="zh-CN" w:bidi="ar"/>
        </w:rPr>
        <w:t>2023</w:t>
      </w:r>
      <w:bookmarkEnd w:id="37"/>
      <w:bookmarkEnd w:id="38"/>
      <w:r>
        <w:rPr>
          <w:rFonts w:ascii="仿宋_GB2312" w:hAnsi="仿宋_GB2312" w:eastAsia="仿宋_GB2312" w:cs="仿宋_GB2312"/>
          <w:color w:val="000000"/>
          <w:sz w:val="44"/>
        </w:rPr>
        <w:t>年单位项目支出预算绩效目标表</w:t>
      </w:r>
    </w:p>
    <w:tbl>
      <w:tblPr>
        <w:tblStyle w:val="13"/>
        <w:tblW w:w="4905" w:type="pct"/>
        <w:tblInd w:w="1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77"/>
        <w:gridCol w:w="3137"/>
        <w:gridCol w:w="2512"/>
        <w:gridCol w:w="1646"/>
        <w:gridCol w:w="6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2830" w:type="pct"/>
            <w:gridSpan w:val="4"/>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bCs/>
                <w:szCs w:val="21"/>
                <w:lang w:eastAsia="zh-CN"/>
              </w:rPr>
              <w:t>单位</w:t>
            </w:r>
            <w:r>
              <w:rPr>
                <w:rFonts w:ascii="仿宋_GB2312" w:hAnsi="仿宋_GB2312" w:eastAsia="仿宋_GB2312" w:cs="仿宋_GB2312"/>
              </w:rPr>
              <w:t>名称：温州市妇女儿童活动中心</w:t>
            </w:r>
          </w:p>
        </w:tc>
        <w:tc>
          <w:tcPr>
            <w:tcW w:w="216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ascii="仿宋_GB2312" w:hAnsi="仿宋_GB2312" w:eastAsia="仿宋_GB2312" w:cs="仿宋_GB2312"/>
                <w:color w:val="000000"/>
                <w:sz w:val="20"/>
              </w:rPr>
              <w:t>单位代码</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单位名称</w:t>
            </w:r>
          </w:p>
        </w:tc>
        <w:tc>
          <w:tcPr>
            <w:tcW w:w="81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项目名称</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金额</w:t>
            </w:r>
          </w:p>
        </w:tc>
        <w:tc>
          <w:tcPr>
            <w:tcW w:w="21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合计</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2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152002</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1,043.30</w:t>
            </w:r>
          </w:p>
        </w:tc>
        <w:tc>
          <w:tcPr>
            <w:tcW w:w="2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152002</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校外教育</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616.80</w:t>
            </w:r>
          </w:p>
        </w:tc>
        <w:tc>
          <w:tcPr>
            <w:tcW w:w="2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通过素质培训，提升我市妇女儿童以及家庭的综合素质水平；丰富我市妇女儿童、家庭的业余生活。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trPr>
        <w:tc>
          <w:tcPr>
            <w:tcW w:w="4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　152002</w:t>
            </w:r>
          </w:p>
        </w:tc>
        <w:tc>
          <w:tcPr>
            <w:tcW w:w="10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温州市妇女儿童活动中心</w:t>
            </w:r>
          </w:p>
        </w:tc>
        <w:tc>
          <w:tcPr>
            <w:tcW w:w="8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校外教育支持与保障</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426.50</w:t>
            </w:r>
          </w:p>
        </w:tc>
        <w:tc>
          <w:tcPr>
            <w:tcW w:w="21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保障培训、活动及办公正常进行，保障中心建筑使用正常，保障设施设备安全运转，保障场所环境干净整洁，无安全故事。</w:t>
            </w:r>
          </w:p>
        </w:tc>
      </w:tr>
    </w:tbl>
    <w:p/>
    <w:sectPr>
      <w:pgSz w:w="16838" w:h="11906" w:orient="landscape"/>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6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1"/>
        <w:snapToGrid w:val="0"/>
      </w:pPr>
      <w:r>
        <w:rPr>
          <w:rStyle w:val="25"/>
        </w:rPr>
        <w:footnoteRef/>
      </w:r>
      <w:r>
        <w:t xml:space="preserve"> </w:t>
      </w:r>
      <w:r>
        <w:rPr>
          <w:rFonts w:hint="eastAsia" w:ascii="仿宋" w:hAnsi="仿宋" w:eastAsia="仿宋"/>
          <w:sz w:val="18"/>
        </w:rPr>
        <w:t>公开文本</w:t>
      </w:r>
      <w:r>
        <w:rPr>
          <w:rFonts w:hint="eastAsia" w:ascii="仿宋" w:hAnsi="仿宋" w:eastAsia="仿宋"/>
        </w:rPr>
        <w:t>202</w:t>
      </w:r>
      <w:r>
        <w:rPr>
          <w:rFonts w:hint="eastAsia" w:ascii="仿宋" w:hAnsi="仿宋" w:eastAsia="仿宋"/>
          <w:lang w:val="en-US" w:eastAsia="zh-CN"/>
        </w:rPr>
        <w:t>3</w:t>
      </w:r>
      <w:r>
        <w:rPr>
          <w:rFonts w:hint="eastAsia" w:ascii="仿宋" w:hAnsi="仿宋" w:eastAsia="仿宋"/>
        </w:rPr>
        <w:t>年</w:t>
      </w:r>
      <w:r>
        <w:rPr>
          <w:rFonts w:hint="eastAsia" w:ascii="仿宋" w:hAnsi="仿宋" w:eastAsia="仿宋"/>
          <w:sz w:val="18"/>
        </w:rPr>
        <w:t>数据来源于附件套表，若明细数加计之和与合计数有尾差，系套表金额单位转换时四舍五入造成，不另行调整。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DEE0E"/>
    <w:multiLevelType w:val="singleLevel"/>
    <w:tmpl w:val="E61DEE0E"/>
    <w:lvl w:ilvl="0" w:tentative="0">
      <w:start w:val="2"/>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YzhhYjNlNTdhNzU0OWFiZDY1ZmMzZjJjZGY2ZjcifQ=="/>
  </w:docVars>
  <w:rsids>
    <w:rsidRoot w:val="00D619FB"/>
    <w:rsid w:val="00011D85"/>
    <w:rsid w:val="001F73E0"/>
    <w:rsid w:val="00387FA1"/>
    <w:rsid w:val="00396E9F"/>
    <w:rsid w:val="003A6B66"/>
    <w:rsid w:val="003E3D64"/>
    <w:rsid w:val="004409EB"/>
    <w:rsid w:val="00522102"/>
    <w:rsid w:val="00545781"/>
    <w:rsid w:val="00563274"/>
    <w:rsid w:val="005D2854"/>
    <w:rsid w:val="005D469F"/>
    <w:rsid w:val="005E290C"/>
    <w:rsid w:val="006624DA"/>
    <w:rsid w:val="006836D3"/>
    <w:rsid w:val="00846033"/>
    <w:rsid w:val="008878D1"/>
    <w:rsid w:val="00956AE7"/>
    <w:rsid w:val="00AA42FB"/>
    <w:rsid w:val="00B32474"/>
    <w:rsid w:val="00B83FCB"/>
    <w:rsid w:val="00BB68B8"/>
    <w:rsid w:val="00CB77BE"/>
    <w:rsid w:val="00D06F79"/>
    <w:rsid w:val="00D619FB"/>
    <w:rsid w:val="00E56324"/>
    <w:rsid w:val="00E8732C"/>
    <w:rsid w:val="010C0502"/>
    <w:rsid w:val="011D457A"/>
    <w:rsid w:val="015E4AD6"/>
    <w:rsid w:val="01613241"/>
    <w:rsid w:val="016B5822"/>
    <w:rsid w:val="016F45ED"/>
    <w:rsid w:val="019B3634"/>
    <w:rsid w:val="01E925F2"/>
    <w:rsid w:val="01F77F95"/>
    <w:rsid w:val="020B07BA"/>
    <w:rsid w:val="020E1124"/>
    <w:rsid w:val="021052E4"/>
    <w:rsid w:val="02315D47"/>
    <w:rsid w:val="02322A9A"/>
    <w:rsid w:val="02441F1E"/>
    <w:rsid w:val="025657AD"/>
    <w:rsid w:val="029C1BB7"/>
    <w:rsid w:val="02C31095"/>
    <w:rsid w:val="02E852D3"/>
    <w:rsid w:val="02ED1C6E"/>
    <w:rsid w:val="03100052"/>
    <w:rsid w:val="0328613E"/>
    <w:rsid w:val="0329473F"/>
    <w:rsid w:val="03321D76"/>
    <w:rsid w:val="03662AD9"/>
    <w:rsid w:val="03816C7A"/>
    <w:rsid w:val="03961FA8"/>
    <w:rsid w:val="03AF786B"/>
    <w:rsid w:val="03CF5CB0"/>
    <w:rsid w:val="03E61C06"/>
    <w:rsid w:val="042D378B"/>
    <w:rsid w:val="043164D2"/>
    <w:rsid w:val="0432483D"/>
    <w:rsid w:val="04544215"/>
    <w:rsid w:val="048B7990"/>
    <w:rsid w:val="048D195A"/>
    <w:rsid w:val="04B2316F"/>
    <w:rsid w:val="04D56E5D"/>
    <w:rsid w:val="04E7619E"/>
    <w:rsid w:val="04EE3579"/>
    <w:rsid w:val="050C5A77"/>
    <w:rsid w:val="053718C6"/>
    <w:rsid w:val="055B3806"/>
    <w:rsid w:val="056652BE"/>
    <w:rsid w:val="057228FE"/>
    <w:rsid w:val="058C1C12"/>
    <w:rsid w:val="05BB6053"/>
    <w:rsid w:val="05C018BB"/>
    <w:rsid w:val="05CC0260"/>
    <w:rsid w:val="05CD222A"/>
    <w:rsid w:val="05D25154"/>
    <w:rsid w:val="05F83E3E"/>
    <w:rsid w:val="062A4F87"/>
    <w:rsid w:val="063127B9"/>
    <w:rsid w:val="06542A65"/>
    <w:rsid w:val="065E2E82"/>
    <w:rsid w:val="06D01FD2"/>
    <w:rsid w:val="06E5458D"/>
    <w:rsid w:val="070E2B5F"/>
    <w:rsid w:val="073A6A62"/>
    <w:rsid w:val="07506C6F"/>
    <w:rsid w:val="07854B6B"/>
    <w:rsid w:val="07986E84"/>
    <w:rsid w:val="079923C4"/>
    <w:rsid w:val="079C3C62"/>
    <w:rsid w:val="07BD7D24"/>
    <w:rsid w:val="07CF4038"/>
    <w:rsid w:val="07D371FC"/>
    <w:rsid w:val="07D65DEF"/>
    <w:rsid w:val="08196554"/>
    <w:rsid w:val="08534C69"/>
    <w:rsid w:val="08744BDF"/>
    <w:rsid w:val="088A7F5F"/>
    <w:rsid w:val="08A76D63"/>
    <w:rsid w:val="08A951F9"/>
    <w:rsid w:val="0910054A"/>
    <w:rsid w:val="0949606C"/>
    <w:rsid w:val="09581E0B"/>
    <w:rsid w:val="097906FF"/>
    <w:rsid w:val="0999783F"/>
    <w:rsid w:val="09A3752A"/>
    <w:rsid w:val="09C900EC"/>
    <w:rsid w:val="09E55D95"/>
    <w:rsid w:val="09E813E1"/>
    <w:rsid w:val="0A1421D6"/>
    <w:rsid w:val="0A1B5312"/>
    <w:rsid w:val="0A3B7763"/>
    <w:rsid w:val="0A3D5E32"/>
    <w:rsid w:val="0A913826"/>
    <w:rsid w:val="0AA95014"/>
    <w:rsid w:val="0AC534D0"/>
    <w:rsid w:val="0AF12517"/>
    <w:rsid w:val="0B065FC2"/>
    <w:rsid w:val="0B304DED"/>
    <w:rsid w:val="0B495EAF"/>
    <w:rsid w:val="0B505490"/>
    <w:rsid w:val="0B995089"/>
    <w:rsid w:val="0B9A495D"/>
    <w:rsid w:val="0BB7550F"/>
    <w:rsid w:val="0BDA2D99"/>
    <w:rsid w:val="0BE67BA2"/>
    <w:rsid w:val="0BF57DE5"/>
    <w:rsid w:val="0BFB189F"/>
    <w:rsid w:val="0BFF2A12"/>
    <w:rsid w:val="0C014F6D"/>
    <w:rsid w:val="0C063DA0"/>
    <w:rsid w:val="0C087B18"/>
    <w:rsid w:val="0C2801BA"/>
    <w:rsid w:val="0C41302A"/>
    <w:rsid w:val="0C5F7D2C"/>
    <w:rsid w:val="0C800F2E"/>
    <w:rsid w:val="0C922E8C"/>
    <w:rsid w:val="0CAA0BCF"/>
    <w:rsid w:val="0CB832EC"/>
    <w:rsid w:val="0CC9088F"/>
    <w:rsid w:val="0CE923AA"/>
    <w:rsid w:val="0CEE0567"/>
    <w:rsid w:val="0D05646A"/>
    <w:rsid w:val="0D205087"/>
    <w:rsid w:val="0D417786"/>
    <w:rsid w:val="0D865199"/>
    <w:rsid w:val="0D8C7BA2"/>
    <w:rsid w:val="0D933D59"/>
    <w:rsid w:val="0DB00467"/>
    <w:rsid w:val="0DBB3597"/>
    <w:rsid w:val="0DE809E8"/>
    <w:rsid w:val="0DF65182"/>
    <w:rsid w:val="0E082052"/>
    <w:rsid w:val="0E1212C9"/>
    <w:rsid w:val="0E253035"/>
    <w:rsid w:val="0E2C3DC4"/>
    <w:rsid w:val="0E456E02"/>
    <w:rsid w:val="0E4C4E14"/>
    <w:rsid w:val="0E4F5ED2"/>
    <w:rsid w:val="0E5C414B"/>
    <w:rsid w:val="0E6B438E"/>
    <w:rsid w:val="0E70579A"/>
    <w:rsid w:val="0E794393"/>
    <w:rsid w:val="0E796AAB"/>
    <w:rsid w:val="0E7F5EAA"/>
    <w:rsid w:val="0EA33EF7"/>
    <w:rsid w:val="0EC046DA"/>
    <w:rsid w:val="0EC5310D"/>
    <w:rsid w:val="0F2E5AE8"/>
    <w:rsid w:val="0F4A6ABA"/>
    <w:rsid w:val="0F543075"/>
    <w:rsid w:val="0F76705F"/>
    <w:rsid w:val="0F786D63"/>
    <w:rsid w:val="0F7A0D2D"/>
    <w:rsid w:val="0FA86DE3"/>
    <w:rsid w:val="0FB01FF4"/>
    <w:rsid w:val="0FD85A54"/>
    <w:rsid w:val="0FE34B24"/>
    <w:rsid w:val="10150A56"/>
    <w:rsid w:val="10233552"/>
    <w:rsid w:val="10287762"/>
    <w:rsid w:val="102D3FF1"/>
    <w:rsid w:val="1054237C"/>
    <w:rsid w:val="10685029"/>
    <w:rsid w:val="10A238A0"/>
    <w:rsid w:val="10A32505"/>
    <w:rsid w:val="10A67900"/>
    <w:rsid w:val="10A818CA"/>
    <w:rsid w:val="10C83D1A"/>
    <w:rsid w:val="10F233D9"/>
    <w:rsid w:val="10F66AD9"/>
    <w:rsid w:val="115E0AC4"/>
    <w:rsid w:val="11641E21"/>
    <w:rsid w:val="11A77DD3"/>
    <w:rsid w:val="11C40985"/>
    <w:rsid w:val="11E22BBA"/>
    <w:rsid w:val="11F3292D"/>
    <w:rsid w:val="11F64BCE"/>
    <w:rsid w:val="120808BC"/>
    <w:rsid w:val="12135469"/>
    <w:rsid w:val="1214052F"/>
    <w:rsid w:val="12386C7D"/>
    <w:rsid w:val="123F1DBA"/>
    <w:rsid w:val="125B4450"/>
    <w:rsid w:val="126619B3"/>
    <w:rsid w:val="126857B5"/>
    <w:rsid w:val="126B2BAF"/>
    <w:rsid w:val="126D6927"/>
    <w:rsid w:val="129F0AAB"/>
    <w:rsid w:val="131312EA"/>
    <w:rsid w:val="13160D6D"/>
    <w:rsid w:val="137F4BD8"/>
    <w:rsid w:val="1393060F"/>
    <w:rsid w:val="13C407C9"/>
    <w:rsid w:val="13D6674E"/>
    <w:rsid w:val="13DB3D64"/>
    <w:rsid w:val="140432BB"/>
    <w:rsid w:val="140B289C"/>
    <w:rsid w:val="14180B15"/>
    <w:rsid w:val="148F7048"/>
    <w:rsid w:val="14DC4B37"/>
    <w:rsid w:val="14F42DE4"/>
    <w:rsid w:val="15113EE2"/>
    <w:rsid w:val="15204125"/>
    <w:rsid w:val="152543B4"/>
    <w:rsid w:val="159B361E"/>
    <w:rsid w:val="15B36D47"/>
    <w:rsid w:val="15EA028F"/>
    <w:rsid w:val="16007AB2"/>
    <w:rsid w:val="1663076D"/>
    <w:rsid w:val="16801192"/>
    <w:rsid w:val="168044ED"/>
    <w:rsid w:val="168356FE"/>
    <w:rsid w:val="16CF5E02"/>
    <w:rsid w:val="16D927DD"/>
    <w:rsid w:val="16EA49EA"/>
    <w:rsid w:val="16EC274F"/>
    <w:rsid w:val="16EF5067"/>
    <w:rsid w:val="16F2564D"/>
    <w:rsid w:val="17147CB9"/>
    <w:rsid w:val="17173305"/>
    <w:rsid w:val="1720040C"/>
    <w:rsid w:val="172A4DE7"/>
    <w:rsid w:val="17345C65"/>
    <w:rsid w:val="173914CE"/>
    <w:rsid w:val="176E561B"/>
    <w:rsid w:val="17832749"/>
    <w:rsid w:val="178B04F8"/>
    <w:rsid w:val="179E5F3A"/>
    <w:rsid w:val="17D8473E"/>
    <w:rsid w:val="17FB2C27"/>
    <w:rsid w:val="180E78A8"/>
    <w:rsid w:val="181C2C32"/>
    <w:rsid w:val="181D494B"/>
    <w:rsid w:val="18441ED8"/>
    <w:rsid w:val="18814EDA"/>
    <w:rsid w:val="188C387F"/>
    <w:rsid w:val="18A64941"/>
    <w:rsid w:val="18A72EBF"/>
    <w:rsid w:val="18AB28D3"/>
    <w:rsid w:val="18B708FC"/>
    <w:rsid w:val="18C80344"/>
    <w:rsid w:val="18E23464"/>
    <w:rsid w:val="18E436BB"/>
    <w:rsid w:val="18E90CD1"/>
    <w:rsid w:val="18FF22A3"/>
    <w:rsid w:val="196071E6"/>
    <w:rsid w:val="19676F33"/>
    <w:rsid w:val="197E766C"/>
    <w:rsid w:val="19834C82"/>
    <w:rsid w:val="19977715"/>
    <w:rsid w:val="19A846E9"/>
    <w:rsid w:val="19BE5CBA"/>
    <w:rsid w:val="19D142FC"/>
    <w:rsid w:val="19D86781"/>
    <w:rsid w:val="19EB2F14"/>
    <w:rsid w:val="19F17E3E"/>
    <w:rsid w:val="19FD4A34"/>
    <w:rsid w:val="1A09570F"/>
    <w:rsid w:val="1A4809D1"/>
    <w:rsid w:val="1A497C7A"/>
    <w:rsid w:val="1A7D7923"/>
    <w:rsid w:val="1A820C23"/>
    <w:rsid w:val="1AAA402B"/>
    <w:rsid w:val="1AAE793C"/>
    <w:rsid w:val="1AB5530F"/>
    <w:rsid w:val="1AD64D12"/>
    <w:rsid w:val="1ADA4D76"/>
    <w:rsid w:val="1AEF6A73"/>
    <w:rsid w:val="1B087B35"/>
    <w:rsid w:val="1B19589E"/>
    <w:rsid w:val="1B363FB3"/>
    <w:rsid w:val="1B3A31DD"/>
    <w:rsid w:val="1B423E05"/>
    <w:rsid w:val="1B544B28"/>
    <w:rsid w:val="1B5F5C88"/>
    <w:rsid w:val="1B6D7998"/>
    <w:rsid w:val="1B8171F7"/>
    <w:rsid w:val="1B882A24"/>
    <w:rsid w:val="1B996667"/>
    <w:rsid w:val="1B99737C"/>
    <w:rsid w:val="1B9E3FF5"/>
    <w:rsid w:val="1BB95686"/>
    <w:rsid w:val="1BCF41AF"/>
    <w:rsid w:val="1BD17F27"/>
    <w:rsid w:val="1C0320AA"/>
    <w:rsid w:val="1C0A3439"/>
    <w:rsid w:val="1C517416"/>
    <w:rsid w:val="1C7A6810"/>
    <w:rsid w:val="1C7D3C04"/>
    <w:rsid w:val="1C8A5E71"/>
    <w:rsid w:val="1CEC2B3E"/>
    <w:rsid w:val="1D012A8E"/>
    <w:rsid w:val="1D175E0D"/>
    <w:rsid w:val="1D1A7519"/>
    <w:rsid w:val="1D2216D8"/>
    <w:rsid w:val="1D2B7B0B"/>
    <w:rsid w:val="1D8965DF"/>
    <w:rsid w:val="1DB6149E"/>
    <w:rsid w:val="1DC55869"/>
    <w:rsid w:val="1DCA7323"/>
    <w:rsid w:val="1DCF66E8"/>
    <w:rsid w:val="1DE81558"/>
    <w:rsid w:val="1DFE32C1"/>
    <w:rsid w:val="1E124827"/>
    <w:rsid w:val="1E2017E9"/>
    <w:rsid w:val="1E285DF8"/>
    <w:rsid w:val="1E5037DD"/>
    <w:rsid w:val="1E522E75"/>
    <w:rsid w:val="1E650DFA"/>
    <w:rsid w:val="1EA726B1"/>
    <w:rsid w:val="1EB15DEE"/>
    <w:rsid w:val="1EC04283"/>
    <w:rsid w:val="1ED74D17"/>
    <w:rsid w:val="1ED85A70"/>
    <w:rsid w:val="1EE95587"/>
    <w:rsid w:val="1F070C5D"/>
    <w:rsid w:val="1F1C3BAF"/>
    <w:rsid w:val="1F3D3B25"/>
    <w:rsid w:val="1F550E6F"/>
    <w:rsid w:val="1F5D564B"/>
    <w:rsid w:val="1F7237CF"/>
    <w:rsid w:val="1FB838C5"/>
    <w:rsid w:val="1FBB33C8"/>
    <w:rsid w:val="1FC87893"/>
    <w:rsid w:val="1FE12702"/>
    <w:rsid w:val="1FF00B97"/>
    <w:rsid w:val="1FFE32B4"/>
    <w:rsid w:val="2009699D"/>
    <w:rsid w:val="2019376E"/>
    <w:rsid w:val="20196340"/>
    <w:rsid w:val="205834A5"/>
    <w:rsid w:val="205E12AA"/>
    <w:rsid w:val="20601879"/>
    <w:rsid w:val="20875058"/>
    <w:rsid w:val="208C1798"/>
    <w:rsid w:val="208E17CC"/>
    <w:rsid w:val="20AC4867"/>
    <w:rsid w:val="20B74F71"/>
    <w:rsid w:val="20C41134"/>
    <w:rsid w:val="20E64474"/>
    <w:rsid w:val="20F85F56"/>
    <w:rsid w:val="210B3EDB"/>
    <w:rsid w:val="21141C1A"/>
    <w:rsid w:val="21221225"/>
    <w:rsid w:val="214152F7"/>
    <w:rsid w:val="2157569F"/>
    <w:rsid w:val="215869F4"/>
    <w:rsid w:val="21635AC5"/>
    <w:rsid w:val="217001E2"/>
    <w:rsid w:val="21A8797C"/>
    <w:rsid w:val="21A954A2"/>
    <w:rsid w:val="21BA320B"/>
    <w:rsid w:val="21EE539F"/>
    <w:rsid w:val="21EF55AB"/>
    <w:rsid w:val="21FF0D89"/>
    <w:rsid w:val="220F17A9"/>
    <w:rsid w:val="222D7E81"/>
    <w:rsid w:val="222F1E4B"/>
    <w:rsid w:val="228E4DC3"/>
    <w:rsid w:val="22AD6357"/>
    <w:rsid w:val="22C407E5"/>
    <w:rsid w:val="22F95FB5"/>
    <w:rsid w:val="23005595"/>
    <w:rsid w:val="231B41AB"/>
    <w:rsid w:val="2352583B"/>
    <w:rsid w:val="23694EE9"/>
    <w:rsid w:val="2378512C"/>
    <w:rsid w:val="238E0DF3"/>
    <w:rsid w:val="23CF0CCE"/>
    <w:rsid w:val="23E34C9B"/>
    <w:rsid w:val="24264B88"/>
    <w:rsid w:val="2431531A"/>
    <w:rsid w:val="243C084F"/>
    <w:rsid w:val="244A6AC8"/>
    <w:rsid w:val="245B3CCB"/>
    <w:rsid w:val="246F1F69"/>
    <w:rsid w:val="24A3442A"/>
    <w:rsid w:val="24A87C93"/>
    <w:rsid w:val="24A93B72"/>
    <w:rsid w:val="24B42061"/>
    <w:rsid w:val="24B71FDF"/>
    <w:rsid w:val="24BC54EC"/>
    <w:rsid w:val="24D171E9"/>
    <w:rsid w:val="24D2799E"/>
    <w:rsid w:val="24ED112F"/>
    <w:rsid w:val="24F627AC"/>
    <w:rsid w:val="24FE78B3"/>
    <w:rsid w:val="25030CF8"/>
    <w:rsid w:val="250D7AF6"/>
    <w:rsid w:val="25145D5F"/>
    <w:rsid w:val="25270BB7"/>
    <w:rsid w:val="2533755C"/>
    <w:rsid w:val="25461222"/>
    <w:rsid w:val="254C2D14"/>
    <w:rsid w:val="25512559"/>
    <w:rsid w:val="255258CA"/>
    <w:rsid w:val="25567DE0"/>
    <w:rsid w:val="257217A9"/>
    <w:rsid w:val="25777D91"/>
    <w:rsid w:val="257E0338"/>
    <w:rsid w:val="259F425C"/>
    <w:rsid w:val="25C46DB6"/>
    <w:rsid w:val="260721B6"/>
    <w:rsid w:val="261A4BC0"/>
    <w:rsid w:val="26215F4F"/>
    <w:rsid w:val="263E35CF"/>
    <w:rsid w:val="2681079B"/>
    <w:rsid w:val="268A3AF3"/>
    <w:rsid w:val="26964247"/>
    <w:rsid w:val="269C3827"/>
    <w:rsid w:val="26B172D2"/>
    <w:rsid w:val="26B946B6"/>
    <w:rsid w:val="26D1527F"/>
    <w:rsid w:val="26D60AE7"/>
    <w:rsid w:val="26D7660D"/>
    <w:rsid w:val="26E31456"/>
    <w:rsid w:val="27123F27"/>
    <w:rsid w:val="273A72C8"/>
    <w:rsid w:val="276931ED"/>
    <w:rsid w:val="27800A53"/>
    <w:rsid w:val="27802801"/>
    <w:rsid w:val="27A24E6D"/>
    <w:rsid w:val="27AD41C5"/>
    <w:rsid w:val="27AF99D0"/>
    <w:rsid w:val="27B70919"/>
    <w:rsid w:val="27CC3C98"/>
    <w:rsid w:val="28333D17"/>
    <w:rsid w:val="285C58B2"/>
    <w:rsid w:val="285D2B42"/>
    <w:rsid w:val="28A56325"/>
    <w:rsid w:val="28DE3B1A"/>
    <w:rsid w:val="28E60D8A"/>
    <w:rsid w:val="290C6A42"/>
    <w:rsid w:val="29143B49"/>
    <w:rsid w:val="29177195"/>
    <w:rsid w:val="292C3912"/>
    <w:rsid w:val="296D58E9"/>
    <w:rsid w:val="298962E5"/>
    <w:rsid w:val="299A2266"/>
    <w:rsid w:val="29AC3D81"/>
    <w:rsid w:val="29B1467A"/>
    <w:rsid w:val="29BD3E99"/>
    <w:rsid w:val="2A662A5E"/>
    <w:rsid w:val="2A6E7289"/>
    <w:rsid w:val="2A816FBC"/>
    <w:rsid w:val="2A995E68"/>
    <w:rsid w:val="2A9C6866"/>
    <w:rsid w:val="2AA84549"/>
    <w:rsid w:val="2ACD1116"/>
    <w:rsid w:val="2B2F07C6"/>
    <w:rsid w:val="2B361B54"/>
    <w:rsid w:val="2B400C25"/>
    <w:rsid w:val="2B430715"/>
    <w:rsid w:val="2B82123D"/>
    <w:rsid w:val="2B8723B0"/>
    <w:rsid w:val="2B9176D3"/>
    <w:rsid w:val="2BA80578"/>
    <w:rsid w:val="2BA967CA"/>
    <w:rsid w:val="2BB144A1"/>
    <w:rsid w:val="2BB532F3"/>
    <w:rsid w:val="2BDB094E"/>
    <w:rsid w:val="2BF8369D"/>
    <w:rsid w:val="2C02237E"/>
    <w:rsid w:val="2C02639C"/>
    <w:rsid w:val="2C060A3E"/>
    <w:rsid w:val="2C0C5A8A"/>
    <w:rsid w:val="2C3167C0"/>
    <w:rsid w:val="2C4C53A8"/>
    <w:rsid w:val="2C6646BB"/>
    <w:rsid w:val="2C6E75F9"/>
    <w:rsid w:val="2CA90A4C"/>
    <w:rsid w:val="2CBF5B79"/>
    <w:rsid w:val="2CC47634"/>
    <w:rsid w:val="2CC633AC"/>
    <w:rsid w:val="2CC66F08"/>
    <w:rsid w:val="2CF75313"/>
    <w:rsid w:val="2D1660E1"/>
    <w:rsid w:val="2D2B53BF"/>
    <w:rsid w:val="2D5C161A"/>
    <w:rsid w:val="2D70346D"/>
    <w:rsid w:val="2D7746A6"/>
    <w:rsid w:val="2D7B7CF2"/>
    <w:rsid w:val="2D7E77E3"/>
    <w:rsid w:val="2D7F70CB"/>
    <w:rsid w:val="2DB01AB8"/>
    <w:rsid w:val="2DB35ED0"/>
    <w:rsid w:val="2DBE0D16"/>
    <w:rsid w:val="2DC07DFB"/>
    <w:rsid w:val="2DCF6290"/>
    <w:rsid w:val="2DD65871"/>
    <w:rsid w:val="2DF6381D"/>
    <w:rsid w:val="2E293BF2"/>
    <w:rsid w:val="2E493F69"/>
    <w:rsid w:val="2E5F2002"/>
    <w:rsid w:val="2E5F2166"/>
    <w:rsid w:val="2E8452CD"/>
    <w:rsid w:val="2E8C0C88"/>
    <w:rsid w:val="2EC44DB8"/>
    <w:rsid w:val="2ECD44DD"/>
    <w:rsid w:val="2EDA3900"/>
    <w:rsid w:val="2EEE2746"/>
    <w:rsid w:val="2EF35FAE"/>
    <w:rsid w:val="2EFC1DE6"/>
    <w:rsid w:val="2EFC30B5"/>
    <w:rsid w:val="2F047678"/>
    <w:rsid w:val="2F0A3A24"/>
    <w:rsid w:val="2F10090E"/>
    <w:rsid w:val="2F1033BF"/>
    <w:rsid w:val="2F285C58"/>
    <w:rsid w:val="2F3D3474"/>
    <w:rsid w:val="2F4F0B88"/>
    <w:rsid w:val="2F7722EC"/>
    <w:rsid w:val="2F7E6F8E"/>
    <w:rsid w:val="2FB44791"/>
    <w:rsid w:val="2FD83DF3"/>
    <w:rsid w:val="2FE95D01"/>
    <w:rsid w:val="2FFB336C"/>
    <w:rsid w:val="30161F54"/>
    <w:rsid w:val="30221DFE"/>
    <w:rsid w:val="30562C99"/>
    <w:rsid w:val="308E41E1"/>
    <w:rsid w:val="308F5FC5"/>
    <w:rsid w:val="30941204"/>
    <w:rsid w:val="30E97669"/>
    <w:rsid w:val="30F1651D"/>
    <w:rsid w:val="30FA1876"/>
    <w:rsid w:val="30FD4260"/>
    <w:rsid w:val="310F3573"/>
    <w:rsid w:val="31722022"/>
    <w:rsid w:val="31884A8A"/>
    <w:rsid w:val="3190376A"/>
    <w:rsid w:val="31AB2B70"/>
    <w:rsid w:val="31E3230A"/>
    <w:rsid w:val="32087FC3"/>
    <w:rsid w:val="32244DFC"/>
    <w:rsid w:val="328E04C8"/>
    <w:rsid w:val="32A93554"/>
    <w:rsid w:val="32B80988"/>
    <w:rsid w:val="32BA750F"/>
    <w:rsid w:val="32C02226"/>
    <w:rsid w:val="32DB1233"/>
    <w:rsid w:val="32FF21F7"/>
    <w:rsid w:val="32FF3174"/>
    <w:rsid w:val="33184235"/>
    <w:rsid w:val="33236BCE"/>
    <w:rsid w:val="334B4FFB"/>
    <w:rsid w:val="33661445"/>
    <w:rsid w:val="33691CA7"/>
    <w:rsid w:val="33917406"/>
    <w:rsid w:val="33DD0C2C"/>
    <w:rsid w:val="33F95E15"/>
    <w:rsid w:val="34067C5E"/>
    <w:rsid w:val="341449FD"/>
    <w:rsid w:val="343650EA"/>
    <w:rsid w:val="344277BC"/>
    <w:rsid w:val="3480498B"/>
    <w:rsid w:val="34AC10D9"/>
    <w:rsid w:val="34C74165"/>
    <w:rsid w:val="34EE34A0"/>
    <w:rsid w:val="34F83CB4"/>
    <w:rsid w:val="34F860CC"/>
    <w:rsid w:val="351C000D"/>
    <w:rsid w:val="351D1FD7"/>
    <w:rsid w:val="35266598"/>
    <w:rsid w:val="352E1AEE"/>
    <w:rsid w:val="352F384C"/>
    <w:rsid w:val="355F614C"/>
    <w:rsid w:val="35672959"/>
    <w:rsid w:val="35697E4A"/>
    <w:rsid w:val="35906305"/>
    <w:rsid w:val="35973B37"/>
    <w:rsid w:val="35CB37E1"/>
    <w:rsid w:val="35CD0035"/>
    <w:rsid w:val="35E12C8E"/>
    <w:rsid w:val="363714B8"/>
    <w:rsid w:val="36405F7D"/>
    <w:rsid w:val="368049F0"/>
    <w:rsid w:val="369D6F2B"/>
    <w:rsid w:val="36A72273"/>
    <w:rsid w:val="36DD1A1E"/>
    <w:rsid w:val="36EA7C97"/>
    <w:rsid w:val="36F54FB9"/>
    <w:rsid w:val="37192788"/>
    <w:rsid w:val="373C4433"/>
    <w:rsid w:val="373F4487"/>
    <w:rsid w:val="37732382"/>
    <w:rsid w:val="3787034C"/>
    <w:rsid w:val="379876F3"/>
    <w:rsid w:val="37B65D16"/>
    <w:rsid w:val="37C246F5"/>
    <w:rsid w:val="37C82A9F"/>
    <w:rsid w:val="37D270A9"/>
    <w:rsid w:val="37D41629"/>
    <w:rsid w:val="38016CD4"/>
    <w:rsid w:val="3840284F"/>
    <w:rsid w:val="387B329C"/>
    <w:rsid w:val="38824072"/>
    <w:rsid w:val="388440AF"/>
    <w:rsid w:val="38A85780"/>
    <w:rsid w:val="38BD5663"/>
    <w:rsid w:val="38C61C36"/>
    <w:rsid w:val="38C70290"/>
    <w:rsid w:val="38CE5AC2"/>
    <w:rsid w:val="38D21625"/>
    <w:rsid w:val="38D27857"/>
    <w:rsid w:val="38E95EAE"/>
    <w:rsid w:val="39012AE1"/>
    <w:rsid w:val="39047736"/>
    <w:rsid w:val="390D6F7F"/>
    <w:rsid w:val="392C27E9"/>
    <w:rsid w:val="394675C9"/>
    <w:rsid w:val="3950297B"/>
    <w:rsid w:val="3958538C"/>
    <w:rsid w:val="395F671A"/>
    <w:rsid w:val="397228F1"/>
    <w:rsid w:val="398E6FFF"/>
    <w:rsid w:val="39BD1693"/>
    <w:rsid w:val="39D65705"/>
    <w:rsid w:val="39EC3979"/>
    <w:rsid w:val="3A03179B"/>
    <w:rsid w:val="3A5244D1"/>
    <w:rsid w:val="3A762831"/>
    <w:rsid w:val="3A86417A"/>
    <w:rsid w:val="3A9D3634"/>
    <w:rsid w:val="3AB7160D"/>
    <w:rsid w:val="3ACE7FFB"/>
    <w:rsid w:val="3AD66EB0"/>
    <w:rsid w:val="3AD71D29"/>
    <w:rsid w:val="3B057795"/>
    <w:rsid w:val="3B245E6D"/>
    <w:rsid w:val="3B5322AF"/>
    <w:rsid w:val="3B714E2B"/>
    <w:rsid w:val="3B775D40"/>
    <w:rsid w:val="3BC211E2"/>
    <w:rsid w:val="3BD038FF"/>
    <w:rsid w:val="3BE51ED5"/>
    <w:rsid w:val="3BE60C08"/>
    <w:rsid w:val="3BE64ED1"/>
    <w:rsid w:val="3BEB698B"/>
    <w:rsid w:val="3BF70E8C"/>
    <w:rsid w:val="3C157564"/>
    <w:rsid w:val="3C1F6635"/>
    <w:rsid w:val="3C2B322B"/>
    <w:rsid w:val="3C586ADB"/>
    <w:rsid w:val="3C6F136A"/>
    <w:rsid w:val="3C836BC3"/>
    <w:rsid w:val="3CA7694E"/>
    <w:rsid w:val="3CB11DA2"/>
    <w:rsid w:val="3CBE5970"/>
    <w:rsid w:val="3CD411CD"/>
    <w:rsid w:val="3D0715A3"/>
    <w:rsid w:val="3D21086E"/>
    <w:rsid w:val="3D3D1A63"/>
    <w:rsid w:val="3D6C58AA"/>
    <w:rsid w:val="3D7A02D0"/>
    <w:rsid w:val="3D7B5AED"/>
    <w:rsid w:val="3D8A5D30"/>
    <w:rsid w:val="3DBF3C2B"/>
    <w:rsid w:val="3DF37421"/>
    <w:rsid w:val="3E0203F7"/>
    <w:rsid w:val="3E054CA0"/>
    <w:rsid w:val="3E233537"/>
    <w:rsid w:val="3E663D4F"/>
    <w:rsid w:val="3E7762B4"/>
    <w:rsid w:val="3E7A3FF6"/>
    <w:rsid w:val="3EA51073"/>
    <w:rsid w:val="3EBC460F"/>
    <w:rsid w:val="3ED10D4C"/>
    <w:rsid w:val="3EF13E60"/>
    <w:rsid w:val="3EFB5050"/>
    <w:rsid w:val="3F211072"/>
    <w:rsid w:val="3F2A77CA"/>
    <w:rsid w:val="3F327526"/>
    <w:rsid w:val="3F52287D"/>
    <w:rsid w:val="3F8C2233"/>
    <w:rsid w:val="3F9904AC"/>
    <w:rsid w:val="3FC27A03"/>
    <w:rsid w:val="3FC75019"/>
    <w:rsid w:val="3FDB6D16"/>
    <w:rsid w:val="3FEA0D08"/>
    <w:rsid w:val="40041DC9"/>
    <w:rsid w:val="40181D19"/>
    <w:rsid w:val="401A060A"/>
    <w:rsid w:val="40307062"/>
    <w:rsid w:val="403F77FF"/>
    <w:rsid w:val="406613A3"/>
    <w:rsid w:val="40721429"/>
    <w:rsid w:val="409A44DC"/>
    <w:rsid w:val="40A01105"/>
    <w:rsid w:val="40CF23D7"/>
    <w:rsid w:val="40E02836"/>
    <w:rsid w:val="40F84B01"/>
    <w:rsid w:val="41196C1F"/>
    <w:rsid w:val="41260B4E"/>
    <w:rsid w:val="412D5350"/>
    <w:rsid w:val="412F731A"/>
    <w:rsid w:val="41601111"/>
    <w:rsid w:val="41695D57"/>
    <w:rsid w:val="419330CA"/>
    <w:rsid w:val="41D35EF7"/>
    <w:rsid w:val="41E974C9"/>
    <w:rsid w:val="41EA4FEF"/>
    <w:rsid w:val="42057C50"/>
    <w:rsid w:val="421F738E"/>
    <w:rsid w:val="422929FF"/>
    <w:rsid w:val="422C5607"/>
    <w:rsid w:val="422F1A41"/>
    <w:rsid w:val="423F6228"/>
    <w:rsid w:val="4250579A"/>
    <w:rsid w:val="42764AD5"/>
    <w:rsid w:val="427A6373"/>
    <w:rsid w:val="42A76F80"/>
    <w:rsid w:val="42B775C7"/>
    <w:rsid w:val="42BA2C13"/>
    <w:rsid w:val="42C925F1"/>
    <w:rsid w:val="42D96BAB"/>
    <w:rsid w:val="431E13F4"/>
    <w:rsid w:val="43361880"/>
    <w:rsid w:val="43362BE2"/>
    <w:rsid w:val="43614A2D"/>
    <w:rsid w:val="437159C8"/>
    <w:rsid w:val="43726BC2"/>
    <w:rsid w:val="437B6846"/>
    <w:rsid w:val="439A453B"/>
    <w:rsid w:val="43AA712C"/>
    <w:rsid w:val="43AD60BF"/>
    <w:rsid w:val="43E048FB"/>
    <w:rsid w:val="44101D29"/>
    <w:rsid w:val="4413460B"/>
    <w:rsid w:val="441B1DD7"/>
    <w:rsid w:val="44212919"/>
    <w:rsid w:val="44215270"/>
    <w:rsid w:val="442F13DF"/>
    <w:rsid w:val="4445108B"/>
    <w:rsid w:val="446A634B"/>
    <w:rsid w:val="446C2633"/>
    <w:rsid w:val="44817E8C"/>
    <w:rsid w:val="449D0A3E"/>
    <w:rsid w:val="449F47B6"/>
    <w:rsid w:val="44A571E8"/>
    <w:rsid w:val="44A75419"/>
    <w:rsid w:val="44C3323C"/>
    <w:rsid w:val="44F2120D"/>
    <w:rsid w:val="451458F7"/>
    <w:rsid w:val="45343151"/>
    <w:rsid w:val="454964D0"/>
    <w:rsid w:val="45761CF7"/>
    <w:rsid w:val="457C60EA"/>
    <w:rsid w:val="457D0E2F"/>
    <w:rsid w:val="45837C34"/>
    <w:rsid w:val="458C4D3B"/>
    <w:rsid w:val="458D50F5"/>
    <w:rsid w:val="45AB2CE7"/>
    <w:rsid w:val="45CE5353"/>
    <w:rsid w:val="45E8036D"/>
    <w:rsid w:val="45EF3078"/>
    <w:rsid w:val="45FA2DA0"/>
    <w:rsid w:val="460F771A"/>
    <w:rsid w:val="46252A99"/>
    <w:rsid w:val="46266A8D"/>
    <w:rsid w:val="46647A66"/>
    <w:rsid w:val="466E4440"/>
    <w:rsid w:val="467F664E"/>
    <w:rsid w:val="469814BD"/>
    <w:rsid w:val="46A42781"/>
    <w:rsid w:val="46A9191C"/>
    <w:rsid w:val="46D63D94"/>
    <w:rsid w:val="46E62229"/>
    <w:rsid w:val="46E666CD"/>
    <w:rsid w:val="46F801AE"/>
    <w:rsid w:val="47077C8F"/>
    <w:rsid w:val="47482EE3"/>
    <w:rsid w:val="47505619"/>
    <w:rsid w:val="47575155"/>
    <w:rsid w:val="475950F1"/>
    <w:rsid w:val="475A6773"/>
    <w:rsid w:val="47687F9E"/>
    <w:rsid w:val="478A34FC"/>
    <w:rsid w:val="47915D02"/>
    <w:rsid w:val="479F1816"/>
    <w:rsid w:val="47A10846"/>
    <w:rsid w:val="47DC70C3"/>
    <w:rsid w:val="47DD66CD"/>
    <w:rsid w:val="47F22E4F"/>
    <w:rsid w:val="48020CF2"/>
    <w:rsid w:val="480908C5"/>
    <w:rsid w:val="482A4397"/>
    <w:rsid w:val="48496F13"/>
    <w:rsid w:val="484F02A2"/>
    <w:rsid w:val="48671147"/>
    <w:rsid w:val="486F26F2"/>
    <w:rsid w:val="48A524D6"/>
    <w:rsid w:val="48BD16AF"/>
    <w:rsid w:val="48D04F3E"/>
    <w:rsid w:val="48EC3D42"/>
    <w:rsid w:val="490C59BB"/>
    <w:rsid w:val="49271743"/>
    <w:rsid w:val="493863CD"/>
    <w:rsid w:val="495E2C9C"/>
    <w:rsid w:val="49725FF6"/>
    <w:rsid w:val="49777AB0"/>
    <w:rsid w:val="497C50C6"/>
    <w:rsid w:val="49F20EE5"/>
    <w:rsid w:val="4A1106F9"/>
    <w:rsid w:val="4A375971"/>
    <w:rsid w:val="4A6D4A0F"/>
    <w:rsid w:val="4AB83EDC"/>
    <w:rsid w:val="4ABB6956"/>
    <w:rsid w:val="4ACB00B3"/>
    <w:rsid w:val="4ADF7108"/>
    <w:rsid w:val="4AFA32A4"/>
    <w:rsid w:val="4B007631"/>
    <w:rsid w:val="4B2D2B36"/>
    <w:rsid w:val="4B502367"/>
    <w:rsid w:val="4B521983"/>
    <w:rsid w:val="4B7B7E18"/>
    <w:rsid w:val="4B840262"/>
    <w:rsid w:val="4B927440"/>
    <w:rsid w:val="4B9A5CD8"/>
    <w:rsid w:val="4BB70638"/>
    <w:rsid w:val="4BD64C87"/>
    <w:rsid w:val="4BE40D01"/>
    <w:rsid w:val="4C0D78CD"/>
    <w:rsid w:val="4C171548"/>
    <w:rsid w:val="4C1B2975"/>
    <w:rsid w:val="4C1E4213"/>
    <w:rsid w:val="4C211F55"/>
    <w:rsid w:val="4C343A36"/>
    <w:rsid w:val="4C6F4A6E"/>
    <w:rsid w:val="4C793B3F"/>
    <w:rsid w:val="4C804ECE"/>
    <w:rsid w:val="4CB6269D"/>
    <w:rsid w:val="4CD62D3F"/>
    <w:rsid w:val="4CE216E4"/>
    <w:rsid w:val="4CF5766A"/>
    <w:rsid w:val="4D292E6F"/>
    <w:rsid w:val="4D372278"/>
    <w:rsid w:val="4D453663"/>
    <w:rsid w:val="4D493511"/>
    <w:rsid w:val="4D495787"/>
    <w:rsid w:val="4D5123C6"/>
    <w:rsid w:val="4D5C1497"/>
    <w:rsid w:val="4D662315"/>
    <w:rsid w:val="4D6E34CC"/>
    <w:rsid w:val="4D8A0000"/>
    <w:rsid w:val="4D9B4759"/>
    <w:rsid w:val="4DA154D2"/>
    <w:rsid w:val="4DA4040F"/>
    <w:rsid w:val="4DC4703C"/>
    <w:rsid w:val="4DD1609C"/>
    <w:rsid w:val="4E192EE4"/>
    <w:rsid w:val="4E395334"/>
    <w:rsid w:val="4E573A0C"/>
    <w:rsid w:val="4E5D72D5"/>
    <w:rsid w:val="4E850579"/>
    <w:rsid w:val="4E86609F"/>
    <w:rsid w:val="4E8E586F"/>
    <w:rsid w:val="4E9133C2"/>
    <w:rsid w:val="4E9B6BE1"/>
    <w:rsid w:val="4F010C54"/>
    <w:rsid w:val="4F0A109E"/>
    <w:rsid w:val="4F230073"/>
    <w:rsid w:val="4F361873"/>
    <w:rsid w:val="4F416B96"/>
    <w:rsid w:val="4F5543EF"/>
    <w:rsid w:val="4F6B5BA6"/>
    <w:rsid w:val="4F8E16AF"/>
    <w:rsid w:val="4F9F566B"/>
    <w:rsid w:val="4FB3209D"/>
    <w:rsid w:val="4FB82BD0"/>
    <w:rsid w:val="4FC43323"/>
    <w:rsid w:val="4FCF0299"/>
    <w:rsid w:val="4FDA48F5"/>
    <w:rsid w:val="4FFF6109"/>
    <w:rsid w:val="502359B7"/>
    <w:rsid w:val="50250266"/>
    <w:rsid w:val="5031764D"/>
    <w:rsid w:val="50463D38"/>
    <w:rsid w:val="50587471"/>
    <w:rsid w:val="506B379F"/>
    <w:rsid w:val="5079410E"/>
    <w:rsid w:val="50BA7B08"/>
    <w:rsid w:val="50BE7150"/>
    <w:rsid w:val="51330760"/>
    <w:rsid w:val="516375F5"/>
    <w:rsid w:val="51646B6C"/>
    <w:rsid w:val="516C329E"/>
    <w:rsid w:val="51914BA1"/>
    <w:rsid w:val="51CD18D3"/>
    <w:rsid w:val="51D325C4"/>
    <w:rsid w:val="51F53573"/>
    <w:rsid w:val="52157E66"/>
    <w:rsid w:val="523B074F"/>
    <w:rsid w:val="52403CEA"/>
    <w:rsid w:val="528B1ED6"/>
    <w:rsid w:val="52C7738F"/>
    <w:rsid w:val="52CA29FF"/>
    <w:rsid w:val="53245061"/>
    <w:rsid w:val="53357120"/>
    <w:rsid w:val="5343196D"/>
    <w:rsid w:val="537723C8"/>
    <w:rsid w:val="53807425"/>
    <w:rsid w:val="538F3C48"/>
    <w:rsid w:val="53900123"/>
    <w:rsid w:val="53BF452D"/>
    <w:rsid w:val="53D855EF"/>
    <w:rsid w:val="541E29CC"/>
    <w:rsid w:val="54745BE1"/>
    <w:rsid w:val="54C31518"/>
    <w:rsid w:val="54E56216"/>
    <w:rsid w:val="55012924"/>
    <w:rsid w:val="55055F70"/>
    <w:rsid w:val="551C775D"/>
    <w:rsid w:val="55376BC9"/>
    <w:rsid w:val="55634FC1"/>
    <w:rsid w:val="55656264"/>
    <w:rsid w:val="556A671B"/>
    <w:rsid w:val="55755C38"/>
    <w:rsid w:val="5579070C"/>
    <w:rsid w:val="55886BA1"/>
    <w:rsid w:val="559865A1"/>
    <w:rsid w:val="55D33BEB"/>
    <w:rsid w:val="5615545B"/>
    <w:rsid w:val="56262642"/>
    <w:rsid w:val="56290384"/>
    <w:rsid w:val="56310FE7"/>
    <w:rsid w:val="56432923"/>
    <w:rsid w:val="566413BC"/>
    <w:rsid w:val="566E5D97"/>
    <w:rsid w:val="56985DCD"/>
    <w:rsid w:val="56B532A8"/>
    <w:rsid w:val="56B61904"/>
    <w:rsid w:val="56BC4D54"/>
    <w:rsid w:val="56C02A96"/>
    <w:rsid w:val="56C53A0B"/>
    <w:rsid w:val="56C67981"/>
    <w:rsid w:val="56DD6A14"/>
    <w:rsid w:val="57193B49"/>
    <w:rsid w:val="571E7ECD"/>
    <w:rsid w:val="57266671"/>
    <w:rsid w:val="572C012C"/>
    <w:rsid w:val="574A6804"/>
    <w:rsid w:val="57574A7D"/>
    <w:rsid w:val="575C2093"/>
    <w:rsid w:val="576A0671"/>
    <w:rsid w:val="57B65C47"/>
    <w:rsid w:val="57C55E8A"/>
    <w:rsid w:val="57EC3417"/>
    <w:rsid w:val="582A3F3F"/>
    <w:rsid w:val="584A7BA0"/>
    <w:rsid w:val="585B059D"/>
    <w:rsid w:val="58605BFD"/>
    <w:rsid w:val="587578B0"/>
    <w:rsid w:val="588307DF"/>
    <w:rsid w:val="58880090"/>
    <w:rsid w:val="588E36A0"/>
    <w:rsid w:val="58A75590"/>
    <w:rsid w:val="58AB1524"/>
    <w:rsid w:val="58C93758"/>
    <w:rsid w:val="58E212D4"/>
    <w:rsid w:val="58E81E30"/>
    <w:rsid w:val="58EE31BF"/>
    <w:rsid w:val="58F5454D"/>
    <w:rsid w:val="58FC58DC"/>
    <w:rsid w:val="590B15D2"/>
    <w:rsid w:val="590D1897"/>
    <w:rsid w:val="592F03D0"/>
    <w:rsid w:val="595474C6"/>
    <w:rsid w:val="59572A90"/>
    <w:rsid w:val="59777658"/>
    <w:rsid w:val="598853C1"/>
    <w:rsid w:val="59AD307A"/>
    <w:rsid w:val="59BE7035"/>
    <w:rsid w:val="59DE3233"/>
    <w:rsid w:val="59FB2B17"/>
    <w:rsid w:val="59FB79D6"/>
    <w:rsid w:val="5A19426B"/>
    <w:rsid w:val="5A226F67"/>
    <w:rsid w:val="5A317807"/>
    <w:rsid w:val="5A421A14"/>
    <w:rsid w:val="5A5654C0"/>
    <w:rsid w:val="5A5E02CB"/>
    <w:rsid w:val="5A70032F"/>
    <w:rsid w:val="5AA1498D"/>
    <w:rsid w:val="5AB3646E"/>
    <w:rsid w:val="5AB6152D"/>
    <w:rsid w:val="5ADE12BE"/>
    <w:rsid w:val="5ADF1011"/>
    <w:rsid w:val="5B3550D5"/>
    <w:rsid w:val="5B392E17"/>
    <w:rsid w:val="5B4B48F9"/>
    <w:rsid w:val="5B51760D"/>
    <w:rsid w:val="5B532FAD"/>
    <w:rsid w:val="5B611599"/>
    <w:rsid w:val="5B8B1199"/>
    <w:rsid w:val="5BB34F4B"/>
    <w:rsid w:val="5BE310B0"/>
    <w:rsid w:val="5BF9A05E"/>
    <w:rsid w:val="5C0351D3"/>
    <w:rsid w:val="5C076A71"/>
    <w:rsid w:val="5C166313"/>
    <w:rsid w:val="5C241CA0"/>
    <w:rsid w:val="5C292E8C"/>
    <w:rsid w:val="5C2B7692"/>
    <w:rsid w:val="5C9F4EFC"/>
    <w:rsid w:val="5CA24B2E"/>
    <w:rsid w:val="5CA47F6C"/>
    <w:rsid w:val="5CA70254"/>
    <w:rsid w:val="5CAB38A1"/>
    <w:rsid w:val="5CC31953"/>
    <w:rsid w:val="5CC606DB"/>
    <w:rsid w:val="5CC74453"/>
    <w:rsid w:val="5CC877DA"/>
    <w:rsid w:val="5CD5091E"/>
    <w:rsid w:val="5CF8460C"/>
    <w:rsid w:val="5CFA0B89"/>
    <w:rsid w:val="5D3A1753"/>
    <w:rsid w:val="5D752FCB"/>
    <w:rsid w:val="5D83037A"/>
    <w:rsid w:val="5DA9535F"/>
    <w:rsid w:val="5DD25814"/>
    <w:rsid w:val="5DD26CE9"/>
    <w:rsid w:val="5DF94AE0"/>
    <w:rsid w:val="5E023994"/>
    <w:rsid w:val="5E1B6804"/>
    <w:rsid w:val="5E3D49CC"/>
    <w:rsid w:val="5E6600EE"/>
    <w:rsid w:val="5E8A398A"/>
    <w:rsid w:val="5EC01F3A"/>
    <w:rsid w:val="5EFC7FF2"/>
    <w:rsid w:val="5EFE107F"/>
    <w:rsid w:val="5F076D88"/>
    <w:rsid w:val="5F236821"/>
    <w:rsid w:val="5F5A335C"/>
    <w:rsid w:val="5F8D54E0"/>
    <w:rsid w:val="5F8E28F9"/>
    <w:rsid w:val="5FC31187"/>
    <w:rsid w:val="5FCD1D80"/>
    <w:rsid w:val="60065C4A"/>
    <w:rsid w:val="600C1E79"/>
    <w:rsid w:val="601B7854"/>
    <w:rsid w:val="602A0F80"/>
    <w:rsid w:val="60874625"/>
    <w:rsid w:val="60AA3E6F"/>
    <w:rsid w:val="60AC7BE7"/>
    <w:rsid w:val="60D1764E"/>
    <w:rsid w:val="60D96503"/>
    <w:rsid w:val="610062FA"/>
    <w:rsid w:val="610417D1"/>
    <w:rsid w:val="61067BB6"/>
    <w:rsid w:val="61072B68"/>
    <w:rsid w:val="61137C66"/>
    <w:rsid w:val="613C71BD"/>
    <w:rsid w:val="613F280A"/>
    <w:rsid w:val="614007DA"/>
    <w:rsid w:val="6141071D"/>
    <w:rsid w:val="6144472D"/>
    <w:rsid w:val="619743F4"/>
    <w:rsid w:val="61C13B66"/>
    <w:rsid w:val="61C359D6"/>
    <w:rsid w:val="61EF2482"/>
    <w:rsid w:val="61EF6BB8"/>
    <w:rsid w:val="6208488F"/>
    <w:rsid w:val="62165C60"/>
    <w:rsid w:val="622D6B06"/>
    <w:rsid w:val="6232236E"/>
    <w:rsid w:val="62367C2E"/>
    <w:rsid w:val="62483940"/>
    <w:rsid w:val="62562501"/>
    <w:rsid w:val="62674953"/>
    <w:rsid w:val="62724E61"/>
    <w:rsid w:val="62903FAE"/>
    <w:rsid w:val="62D60F4C"/>
    <w:rsid w:val="63247F09"/>
    <w:rsid w:val="63267683"/>
    <w:rsid w:val="632F68AE"/>
    <w:rsid w:val="638B61DA"/>
    <w:rsid w:val="639A7DCC"/>
    <w:rsid w:val="63C61514"/>
    <w:rsid w:val="63D538F9"/>
    <w:rsid w:val="63E47130"/>
    <w:rsid w:val="63EB4ECB"/>
    <w:rsid w:val="63F60DD0"/>
    <w:rsid w:val="641461CF"/>
    <w:rsid w:val="644C1557"/>
    <w:rsid w:val="6457430E"/>
    <w:rsid w:val="648D15E2"/>
    <w:rsid w:val="648D7D30"/>
    <w:rsid w:val="64964367"/>
    <w:rsid w:val="64A758F9"/>
    <w:rsid w:val="64E07DDC"/>
    <w:rsid w:val="64E71F99"/>
    <w:rsid w:val="64FA11B2"/>
    <w:rsid w:val="6523084E"/>
    <w:rsid w:val="6535464F"/>
    <w:rsid w:val="65367854"/>
    <w:rsid w:val="65515201"/>
    <w:rsid w:val="65533EE1"/>
    <w:rsid w:val="655645C6"/>
    <w:rsid w:val="65574B95"/>
    <w:rsid w:val="655D3F5A"/>
    <w:rsid w:val="655D7702"/>
    <w:rsid w:val="657F62D1"/>
    <w:rsid w:val="65904F5A"/>
    <w:rsid w:val="6592739A"/>
    <w:rsid w:val="65960E66"/>
    <w:rsid w:val="659925E0"/>
    <w:rsid w:val="65AE717A"/>
    <w:rsid w:val="65C71020"/>
    <w:rsid w:val="65D75478"/>
    <w:rsid w:val="65D82C96"/>
    <w:rsid w:val="65F74FD5"/>
    <w:rsid w:val="660D4F6C"/>
    <w:rsid w:val="661B74FF"/>
    <w:rsid w:val="667429EC"/>
    <w:rsid w:val="667E5B82"/>
    <w:rsid w:val="66BE0674"/>
    <w:rsid w:val="66D86074"/>
    <w:rsid w:val="66F61BBC"/>
    <w:rsid w:val="66FE6CC3"/>
    <w:rsid w:val="67277FC8"/>
    <w:rsid w:val="67283D40"/>
    <w:rsid w:val="673F38FE"/>
    <w:rsid w:val="675B1706"/>
    <w:rsid w:val="675B5EC3"/>
    <w:rsid w:val="675F52FD"/>
    <w:rsid w:val="676C7036"/>
    <w:rsid w:val="67832639"/>
    <w:rsid w:val="679E6165"/>
    <w:rsid w:val="67A376E5"/>
    <w:rsid w:val="67C92A9B"/>
    <w:rsid w:val="67F16C29"/>
    <w:rsid w:val="68183DB4"/>
    <w:rsid w:val="682832FE"/>
    <w:rsid w:val="68283C8B"/>
    <w:rsid w:val="685E5C6B"/>
    <w:rsid w:val="686A0AB4"/>
    <w:rsid w:val="686D4100"/>
    <w:rsid w:val="687529FD"/>
    <w:rsid w:val="68776D2D"/>
    <w:rsid w:val="68A57C30"/>
    <w:rsid w:val="68C1444C"/>
    <w:rsid w:val="690C3919"/>
    <w:rsid w:val="69194288"/>
    <w:rsid w:val="69286279"/>
    <w:rsid w:val="692E3867"/>
    <w:rsid w:val="69313380"/>
    <w:rsid w:val="695B21AB"/>
    <w:rsid w:val="69623539"/>
    <w:rsid w:val="696C085C"/>
    <w:rsid w:val="698A2A90"/>
    <w:rsid w:val="699F29DF"/>
    <w:rsid w:val="69A2602B"/>
    <w:rsid w:val="69A74C44"/>
    <w:rsid w:val="69BF01F1"/>
    <w:rsid w:val="69CC12FA"/>
    <w:rsid w:val="69E95A08"/>
    <w:rsid w:val="6A173B03"/>
    <w:rsid w:val="6A1A2066"/>
    <w:rsid w:val="6A325601"/>
    <w:rsid w:val="6A3273AF"/>
    <w:rsid w:val="6A366774"/>
    <w:rsid w:val="6A6D2696"/>
    <w:rsid w:val="6A8E035E"/>
    <w:rsid w:val="6AB62BC4"/>
    <w:rsid w:val="6AC94BD5"/>
    <w:rsid w:val="6AFE1987"/>
    <w:rsid w:val="6B1765A5"/>
    <w:rsid w:val="6B234F4A"/>
    <w:rsid w:val="6B56531F"/>
    <w:rsid w:val="6B8E2D0B"/>
    <w:rsid w:val="6BAF67DE"/>
    <w:rsid w:val="6BBD1CC2"/>
    <w:rsid w:val="6BD3071E"/>
    <w:rsid w:val="6BE64EB6"/>
    <w:rsid w:val="6C0E1756"/>
    <w:rsid w:val="6C371933"/>
    <w:rsid w:val="6C553E3A"/>
    <w:rsid w:val="6C9500C9"/>
    <w:rsid w:val="6CB87831"/>
    <w:rsid w:val="6CC820E6"/>
    <w:rsid w:val="6CD81D64"/>
    <w:rsid w:val="6CEB2412"/>
    <w:rsid w:val="6CFF5543"/>
    <w:rsid w:val="6D284A9A"/>
    <w:rsid w:val="6D4B177C"/>
    <w:rsid w:val="6DD469CF"/>
    <w:rsid w:val="6DEE7A91"/>
    <w:rsid w:val="6DF073B5"/>
    <w:rsid w:val="6DF26DC9"/>
    <w:rsid w:val="6E35746E"/>
    <w:rsid w:val="6E5673E4"/>
    <w:rsid w:val="6E5747E6"/>
    <w:rsid w:val="6E7F5565"/>
    <w:rsid w:val="6EB324D2"/>
    <w:rsid w:val="6EC41DCE"/>
    <w:rsid w:val="6EE82732"/>
    <w:rsid w:val="6F073CD2"/>
    <w:rsid w:val="6F307C36"/>
    <w:rsid w:val="6F40631D"/>
    <w:rsid w:val="6F4B0F13"/>
    <w:rsid w:val="6F7A25F6"/>
    <w:rsid w:val="6F976B08"/>
    <w:rsid w:val="6F993A2D"/>
    <w:rsid w:val="6F9B77A5"/>
    <w:rsid w:val="6FA7614A"/>
    <w:rsid w:val="6FAE324D"/>
    <w:rsid w:val="6FB673DF"/>
    <w:rsid w:val="6FC00FB9"/>
    <w:rsid w:val="6FCB313B"/>
    <w:rsid w:val="6FD57B29"/>
    <w:rsid w:val="6FD9651F"/>
    <w:rsid w:val="6FDD600F"/>
    <w:rsid w:val="6FFF2BCE"/>
    <w:rsid w:val="704C0A9F"/>
    <w:rsid w:val="705F4C76"/>
    <w:rsid w:val="7064228D"/>
    <w:rsid w:val="7099406B"/>
    <w:rsid w:val="709E7B58"/>
    <w:rsid w:val="709F5073"/>
    <w:rsid w:val="70B70861"/>
    <w:rsid w:val="70BC5C25"/>
    <w:rsid w:val="70C024F0"/>
    <w:rsid w:val="70E37655"/>
    <w:rsid w:val="70FE623D"/>
    <w:rsid w:val="710D7983"/>
    <w:rsid w:val="71153587"/>
    <w:rsid w:val="711D7A43"/>
    <w:rsid w:val="712E54D4"/>
    <w:rsid w:val="713078B7"/>
    <w:rsid w:val="71413947"/>
    <w:rsid w:val="7141437C"/>
    <w:rsid w:val="71B903B6"/>
    <w:rsid w:val="71E44313"/>
    <w:rsid w:val="71EC253A"/>
    <w:rsid w:val="72121DF6"/>
    <w:rsid w:val="72233A82"/>
    <w:rsid w:val="72443276"/>
    <w:rsid w:val="725956F5"/>
    <w:rsid w:val="72605EE6"/>
    <w:rsid w:val="726E2F4F"/>
    <w:rsid w:val="72734A09"/>
    <w:rsid w:val="727F074F"/>
    <w:rsid w:val="72B654DE"/>
    <w:rsid w:val="72BD7E15"/>
    <w:rsid w:val="72C25048"/>
    <w:rsid w:val="72E17BC5"/>
    <w:rsid w:val="7300510D"/>
    <w:rsid w:val="730D6092"/>
    <w:rsid w:val="730F10D1"/>
    <w:rsid w:val="735859AD"/>
    <w:rsid w:val="735F6D3B"/>
    <w:rsid w:val="73935567"/>
    <w:rsid w:val="73B057E9"/>
    <w:rsid w:val="73BD773A"/>
    <w:rsid w:val="73C61ADF"/>
    <w:rsid w:val="73E01C2A"/>
    <w:rsid w:val="74116287"/>
    <w:rsid w:val="741221C2"/>
    <w:rsid w:val="7422465F"/>
    <w:rsid w:val="74634609"/>
    <w:rsid w:val="74855837"/>
    <w:rsid w:val="74856C75"/>
    <w:rsid w:val="74895730"/>
    <w:rsid w:val="74B51309"/>
    <w:rsid w:val="74C07CAE"/>
    <w:rsid w:val="74C257D4"/>
    <w:rsid w:val="74CC21AE"/>
    <w:rsid w:val="74E514C2"/>
    <w:rsid w:val="750758DC"/>
    <w:rsid w:val="751A5610"/>
    <w:rsid w:val="7522657D"/>
    <w:rsid w:val="753064B9"/>
    <w:rsid w:val="75690ED6"/>
    <w:rsid w:val="757E1548"/>
    <w:rsid w:val="75986535"/>
    <w:rsid w:val="759A22AD"/>
    <w:rsid w:val="759C24D2"/>
    <w:rsid w:val="75B229AC"/>
    <w:rsid w:val="75D457BF"/>
    <w:rsid w:val="75DA08FB"/>
    <w:rsid w:val="75E3395A"/>
    <w:rsid w:val="76120095"/>
    <w:rsid w:val="76283D5C"/>
    <w:rsid w:val="76442312"/>
    <w:rsid w:val="765C57B4"/>
    <w:rsid w:val="7677439C"/>
    <w:rsid w:val="76BF4D2C"/>
    <w:rsid w:val="76DFF3BC"/>
    <w:rsid w:val="770E2F52"/>
    <w:rsid w:val="771340C5"/>
    <w:rsid w:val="77274014"/>
    <w:rsid w:val="77444BC6"/>
    <w:rsid w:val="775B5A6C"/>
    <w:rsid w:val="777F79AC"/>
    <w:rsid w:val="77AE0291"/>
    <w:rsid w:val="77C64172"/>
    <w:rsid w:val="77D33689"/>
    <w:rsid w:val="77E108A2"/>
    <w:rsid w:val="77FF0865"/>
    <w:rsid w:val="780E2ADE"/>
    <w:rsid w:val="782F4F2E"/>
    <w:rsid w:val="7867302D"/>
    <w:rsid w:val="78CF04BF"/>
    <w:rsid w:val="78DD2BDC"/>
    <w:rsid w:val="78E977D3"/>
    <w:rsid w:val="79077C59"/>
    <w:rsid w:val="79275B38"/>
    <w:rsid w:val="792D64D2"/>
    <w:rsid w:val="79646E59"/>
    <w:rsid w:val="799F60E4"/>
    <w:rsid w:val="79AD5421"/>
    <w:rsid w:val="79B24069"/>
    <w:rsid w:val="79B31B8F"/>
    <w:rsid w:val="79CF180D"/>
    <w:rsid w:val="79D815F5"/>
    <w:rsid w:val="79E47F9A"/>
    <w:rsid w:val="79EE2BC7"/>
    <w:rsid w:val="79F521A7"/>
    <w:rsid w:val="7A603AC5"/>
    <w:rsid w:val="7A760E66"/>
    <w:rsid w:val="7A7E219D"/>
    <w:rsid w:val="7A8C22DE"/>
    <w:rsid w:val="7AA15071"/>
    <w:rsid w:val="7AB35715"/>
    <w:rsid w:val="7ADA6E1B"/>
    <w:rsid w:val="7AFD57B8"/>
    <w:rsid w:val="7B346CFF"/>
    <w:rsid w:val="7B3A2568"/>
    <w:rsid w:val="7B4A207F"/>
    <w:rsid w:val="7B964105"/>
    <w:rsid w:val="7B9D48A5"/>
    <w:rsid w:val="7BA14395"/>
    <w:rsid w:val="7BB53769"/>
    <w:rsid w:val="7BD52290"/>
    <w:rsid w:val="7BE1477E"/>
    <w:rsid w:val="7BE14791"/>
    <w:rsid w:val="7BF2699E"/>
    <w:rsid w:val="7C2E374F"/>
    <w:rsid w:val="7C2F7BF3"/>
    <w:rsid w:val="7C6F6241"/>
    <w:rsid w:val="7C94028B"/>
    <w:rsid w:val="7C9F7FDE"/>
    <w:rsid w:val="7CA57EB5"/>
    <w:rsid w:val="7CA97FA9"/>
    <w:rsid w:val="7CAA1027"/>
    <w:rsid w:val="7CBB1486"/>
    <w:rsid w:val="7CC3033B"/>
    <w:rsid w:val="7CEC7892"/>
    <w:rsid w:val="7CED596F"/>
    <w:rsid w:val="7CFB18E8"/>
    <w:rsid w:val="7D254B52"/>
    <w:rsid w:val="7D2F545D"/>
    <w:rsid w:val="7D667E52"/>
    <w:rsid w:val="7D6E02A7"/>
    <w:rsid w:val="7D7576FD"/>
    <w:rsid w:val="7D9615AC"/>
    <w:rsid w:val="7DAF38C3"/>
    <w:rsid w:val="7DBFC2EB"/>
    <w:rsid w:val="7DE247F1"/>
    <w:rsid w:val="7E132BFC"/>
    <w:rsid w:val="7E207A50"/>
    <w:rsid w:val="7E68119A"/>
    <w:rsid w:val="7E717CED"/>
    <w:rsid w:val="7EA85A3A"/>
    <w:rsid w:val="7EB7AA01"/>
    <w:rsid w:val="7ECB1729"/>
    <w:rsid w:val="7ECEF066"/>
    <w:rsid w:val="7EDC7492"/>
    <w:rsid w:val="7EF0650D"/>
    <w:rsid w:val="7F141322"/>
    <w:rsid w:val="7F291893"/>
    <w:rsid w:val="7F345520"/>
    <w:rsid w:val="7F403EC5"/>
    <w:rsid w:val="7F460599"/>
    <w:rsid w:val="7F484B27"/>
    <w:rsid w:val="7F623E3B"/>
    <w:rsid w:val="7F66C19E"/>
    <w:rsid w:val="7F671451"/>
    <w:rsid w:val="7F6851CA"/>
    <w:rsid w:val="7FC25F63"/>
    <w:rsid w:val="7FCF6FF7"/>
    <w:rsid w:val="7FE3062C"/>
    <w:rsid w:val="7FF058EB"/>
    <w:rsid w:val="7FF32CE5"/>
    <w:rsid w:val="7FF54CAF"/>
    <w:rsid w:val="7FFA69B3"/>
    <w:rsid w:val="A4EFBF90"/>
    <w:rsid w:val="BFFF6176"/>
    <w:rsid w:val="DF676FFB"/>
    <w:rsid w:val="E538DC5F"/>
    <w:rsid w:val="ED7CC897"/>
    <w:rsid w:val="F0DF08A9"/>
    <w:rsid w:val="F3FE986C"/>
    <w:rsid w:val="F6EF5021"/>
    <w:rsid w:val="F7FE38B3"/>
    <w:rsid w:val="FF3B3419"/>
    <w:rsid w:val="FF7D5F5B"/>
    <w:rsid w:val="FFDE14B7"/>
    <w:rsid w:val="FFF7C0B9"/>
    <w:rsid w:val="FFFF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3"/>
    <w:qFormat/>
    <w:uiPriority w:val="0"/>
    <w:pPr>
      <w:keepNext/>
      <w:keepLines/>
      <w:spacing w:before="340" w:after="330" w:line="560" w:lineRule="exact"/>
      <w:ind w:firstLine="700" w:firstLineChars="200"/>
      <w:outlineLvl w:val="0"/>
    </w:pPr>
    <w:rPr>
      <w:rFonts w:eastAsia="黑体"/>
      <w:b/>
      <w:kern w:val="44"/>
      <w:sz w:val="32"/>
    </w:rPr>
  </w:style>
  <w:style w:type="paragraph" w:styleId="4">
    <w:name w:val="heading 2"/>
    <w:basedOn w:val="1"/>
    <w:next w:val="1"/>
    <w:link w:val="54"/>
    <w:unhideWhenUsed/>
    <w:qFormat/>
    <w:uiPriority w:val="0"/>
    <w:pPr>
      <w:keepNext/>
      <w:keepLines/>
      <w:spacing w:before="260" w:after="260" w:line="560" w:lineRule="exact"/>
      <w:ind w:firstLine="700" w:firstLineChars="200"/>
      <w:outlineLvl w:val="1"/>
    </w:pPr>
    <w:rPr>
      <w:rFonts w:ascii="Arial" w:hAnsi="Arial" w:eastAsia="楷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5">
    <w:name w:val="annotation text"/>
    <w:basedOn w:val="1"/>
    <w:qFormat/>
    <w:uiPriority w:val="0"/>
    <w:pPr>
      <w:jc w:val="left"/>
    </w:pPr>
  </w:style>
  <w:style w:type="paragraph" w:styleId="6">
    <w:name w:val="Body Text"/>
    <w:basedOn w:val="1"/>
    <w:qFormat/>
    <w:uiPriority w:val="1"/>
    <w:rPr>
      <w:sz w:val="32"/>
      <w:szCs w:val="32"/>
    </w:rPr>
  </w:style>
  <w:style w:type="paragraph" w:styleId="7">
    <w:name w:val="Balloon Text"/>
    <w:basedOn w:val="1"/>
    <w:link w:val="5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link w:val="59"/>
    <w:qFormat/>
    <w:uiPriority w:val="0"/>
  </w:style>
  <w:style w:type="paragraph" w:styleId="11">
    <w:name w:val="footnote text"/>
    <w:basedOn w:val="1"/>
    <w:qFormat/>
    <w:uiPriority w:val="0"/>
    <w:pPr>
      <w:snapToGrid w:val="0"/>
      <w:jc w:val="left"/>
    </w:pPr>
    <w:rPr>
      <w:sz w:val="18"/>
    </w:rPr>
  </w:style>
  <w:style w:type="paragraph" w:styleId="12">
    <w:name w:val="toc 2"/>
    <w:basedOn w:val="1"/>
    <w:next w:val="1"/>
    <w:link w:val="60"/>
    <w:qFormat/>
    <w:uiPriority w:val="0"/>
    <w:pPr>
      <w:ind w:left="420" w:leftChars="200"/>
    </w:p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FollowedHyperlink"/>
    <w:basedOn w:val="15"/>
    <w:qFormat/>
    <w:uiPriority w:val="0"/>
    <w:rPr>
      <w:color w:val="800080"/>
      <w:u w:val="none"/>
    </w:rPr>
  </w:style>
  <w:style w:type="character" w:styleId="19">
    <w:name w:val="HTML Definition"/>
    <w:basedOn w:val="15"/>
    <w:qFormat/>
    <w:uiPriority w:val="0"/>
  </w:style>
  <w:style w:type="character" w:styleId="20">
    <w:name w:val="HTML Variable"/>
    <w:basedOn w:val="15"/>
    <w:qFormat/>
    <w:uiPriority w:val="0"/>
  </w:style>
  <w:style w:type="character" w:styleId="21">
    <w:name w:val="Hyperlink"/>
    <w:basedOn w:val="15"/>
    <w:qFormat/>
    <w:uiPriority w:val="0"/>
    <w:rPr>
      <w:color w:val="0000FF"/>
      <w:u w:val="none"/>
    </w:rPr>
  </w:style>
  <w:style w:type="character" w:styleId="22">
    <w:name w:val="HTML Code"/>
    <w:basedOn w:val="15"/>
    <w:qFormat/>
    <w:uiPriority w:val="0"/>
    <w:rPr>
      <w:rFonts w:ascii="Courier New" w:hAnsi="Courier New"/>
      <w:sz w:val="20"/>
    </w:rPr>
  </w:style>
  <w:style w:type="character" w:styleId="23">
    <w:name w:val="annotation reference"/>
    <w:basedOn w:val="15"/>
    <w:qFormat/>
    <w:uiPriority w:val="0"/>
    <w:rPr>
      <w:sz w:val="21"/>
      <w:szCs w:val="21"/>
    </w:rPr>
  </w:style>
  <w:style w:type="character" w:styleId="24">
    <w:name w:val="HTML Cite"/>
    <w:basedOn w:val="15"/>
    <w:qFormat/>
    <w:uiPriority w:val="0"/>
  </w:style>
  <w:style w:type="character" w:styleId="25">
    <w:name w:val="footnote reference"/>
    <w:basedOn w:val="15"/>
    <w:qFormat/>
    <w:uiPriority w:val="0"/>
    <w:rPr>
      <w:vertAlign w:val="superscript"/>
    </w:rPr>
  </w:style>
  <w:style w:type="paragraph" w:customStyle="1" w:styleId="26">
    <w:name w:val="Char"/>
    <w:basedOn w:val="1"/>
    <w:qFormat/>
    <w:uiPriority w:val="0"/>
    <w:rPr>
      <w:rFonts w:ascii="宋体" w:hAnsi="宋体" w:cs="Courier New"/>
      <w:sz w:val="32"/>
      <w:szCs w:val="32"/>
    </w:rPr>
  </w:style>
  <w:style w:type="paragraph" w:customStyle="1" w:styleId="27">
    <w:name w:val="Char1"/>
    <w:basedOn w:val="1"/>
    <w:qFormat/>
    <w:uiPriority w:val="0"/>
  </w:style>
  <w:style w:type="paragraph" w:customStyle="1" w:styleId="28">
    <w:name w:val="p0"/>
    <w:basedOn w:val="1"/>
    <w:qFormat/>
    <w:uiPriority w:val="0"/>
    <w:pPr>
      <w:widowControl/>
    </w:pPr>
    <w:rPr>
      <w:kern w:val="0"/>
      <w:szCs w:val="21"/>
    </w:rPr>
  </w:style>
  <w:style w:type="character" w:customStyle="1" w:styleId="29">
    <w:name w:val="item-middle"/>
    <w:basedOn w:val="15"/>
    <w:qFormat/>
    <w:uiPriority w:val="0"/>
  </w:style>
  <w:style w:type="character" w:customStyle="1" w:styleId="30">
    <w:name w:val="image"/>
    <w:basedOn w:val="15"/>
    <w:qFormat/>
    <w:uiPriority w:val="0"/>
  </w:style>
  <w:style w:type="character" w:customStyle="1" w:styleId="31">
    <w:name w:val="image2"/>
    <w:basedOn w:val="15"/>
    <w:qFormat/>
    <w:uiPriority w:val="0"/>
  </w:style>
  <w:style w:type="character" w:customStyle="1" w:styleId="32">
    <w:name w:val="image3"/>
    <w:basedOn w:val="15"/>
    <w:qFormat/>
    <w:uiPriority w:val="0"/>
  </w:style>
  <w:style w:type="character" w:customStyle="1" w:styleId="33">
    <w:name w:val="ui-state-hover21"/>
    <w:basedOn w:val="15"/>
    <w:qFormat/>
    <w:uiPriority w:val="0"/>
  </w:style>
  <w:style w:type="character" w:customStyle="1" w:styleId="34">
    <w:name w:val="ui-state-active5"/>
    <w:basedOn w:val="15"/>
    <w:qFormat/>
    <w:uiPriority w:val="0"/>
  </w:style>
  <w:style w:type="character" w:customStyle="1" w:styleId="35">
    <w:name w:val="ui-state-default12"/>
    <w:basedOn w:val="15"/>
    <w:qFormat/>
    <w:uiPriority w:val="0"/>
  </w:style>
  <w:style w:type="character" w:customStyle="1" w:styleId="36">
    <w:name w:val="ui-state-default13"/>
    <w:basedOn w:val="15"/>
    <w:qFormat/>
    <w:uiPriority w:val="0"/>
  </w:style>
  <w:style w:type="character" w:customStyle="1" w:styleId="37">
    <w:name w:val="clicked1"/>
    <w:basedOn w:val="15"/>
    <w:qFormat/>
    <w:uiPriority w:val="0"/>
    <w:rPr>
      <w:color w:val="000000"/>
    </w:rPr>
  </w:style>
  <w:style w:type="character" w:customStyle="1" w:styleId="38">
    <w:name w:val="clicked2"/>
    <w:basedOn w:val="15"/>
    <w:qFormat/>
    <w:uiPriority w:val="0"/>
  </w:style>
  <w:style w:type="character" w:customStyle="1" w:styleId="39">
    <w:name w:val="clicked3"/>
    <w:basedOn w:val="15"/>
    <w:qFormat/>
    <w:uiPriority w:val="0"/>
  </w:style>
  <w:style w:type="character" w:customStyle="1" w:styleId="40">
    <w:name w:val="button-hover"/>
    <w:basedOn w:val="15"/>
    <w:qFormat/>
    <w:uiPriority w:val="0"/>
  </w:style>
  <w:style w:type="character" w:customStyle="1" w:styleId="41">
    <w:name w:val="button-hover1"/>
    <w:basedOn w:val="15"/>
    <w:qFormat/>
    <w:uiPriority w:val="0"/>
  </w:style>
  <w:style w:type="character" w:customStyle="1" w:styleId="42">
    <w:name w:val="group"/>
    <w:basedOn w:val="15"/>
    <w:qFormat/>
    <w:uiPriority w:val="0"/>
  </w:style>
  <w:style w:type="character" w:customStyle="1" w:styleId="43">
    <w:name w:val="directchildrenspan"/>
    <w:basedOn w:val="15"/>
    <w:qFormat/>
    <w:uiPriority w:val="0"/>
  </w:style>
  <w:style w:type="character" w:customStyle="1" w:styleId="44">
    <w:name w:val="imgspan"/>
    <w:basedOn w:val="15"/>
    <w:qFormat/>
    <w:uiPriority w:val="0"/>
  </w:style>
  <w:style w:type="character" w:customStyle="1" w:styleId="45">
    <w:name w:val="ui-icon34"/>
    <w:basedOn w:val="15"/>
    <w:qFormat/>
    <w:uiPriority w:val="0"/>
  </w:style>
  <w:style w:type="character" w:customStyle="1" w:styleId="46">
    <w:name w:val="newstitle"/>
    <w:basedOn w:val="15"/>
    <w:qFormat/>
    <w:uiPriority w:val="0"/>
    <w:rPr>
      <w:b/>
      <w:color w:val="000000"/>
      <w:sz w:val="24"/>
      <w:szCs w:val="24"/>
    </w:rPr>
  </w:style>
  <w:style w:type="character" w:customStyle="1" w:styleId="47">
    <w:name w:val="ui-state-hover"/>
    <w:basedOn w:val="15"/>
    <w:qFormat/>
    <w:uiPriority w:val="0"/>
  </w:style>
  <w:style w:type="character" w:customStyle="1" w:styleId="48">
    <w:name w:val="image1"/>
    <w:basedOn w:val="15"/>
    <w:qFormat/>
    <w:uiPriority w:val="0"/>
  </w:style>
  <w:style w:type="character" w:customStyle="1" w:styleId="49">
    <w:name w:val="clicked"/>
    <w:basedOn w:val="15"/>
    <w:qFormat/>
    <w:uiPriority w:val="0"/>
  </w:style>
  <w:style w:type="character" w:customStyle="1" w:styleId="50">
    <w:name w:val="ui-state-active"/>
    <w:basedOn w:val="15"/>
    <w:qFormat/>
    <w:uiPriority w:val="0"/>
  </w:style>
  <w:style w:type="character" w:customStyle="1" w:styleId="51">
    <w:name w:val="ui-icon33"/>
    <w:basedOn w:val="15"/>
    <w:qFormat/>
    <w:uiPriority w:val="0"/>
  </w:style>
  <w:style w:type="character" w:customStyle="1" w:styleId="52">
    <w:name w:val="ui-state-active6"/>
    <w:basedOn w:val="15"/>
    <w:qFormat/>
    <w:uiPriority w:val="0"/>
  </w:style>
  <w:style w:type="character" w:customStyle="1" w:styleId="53">
    <w:name w:val="标题 1 Char"/>
    <w:link w:val="3"/>
    <w:qFormat/>
    <w:uiPriority w:val="0"/>
    <w:rPr>
      <w:rFonts w:ascii="Times New Roman" w:hAnsi="Times New Roman" w:eastAsia="黑体"/>
      <w:b/>
      <w:kern w:val="44"/>
      <w:sz w:val="32"/>
    </w:rPr>
  </w:style>
  <w:style w:type="character" w:customStyle="1" w:styleId="54">
    <w:name w:val="标题 2 Char"/>
    <w:link w:val="4"/>
    <w:qFormat/>
    <w:uiPriority w:val="0"/>
    <w:rPr>
      <w:rFonts w:ascii="Arial" w:hAnsi="Arial" w:eastAsia="楷体"/>
      <w:b/>
      <w:sz w:val="32"/>
    </w:rPr>
  </w:style>
  <w:style w:type="character" w:customStyle="1" w:styleId="55">
    <w:name w:val="批注框文本 Char"/>
    <w:basedOn w:val="15"/>
    <w:link w:val="7"/>
    <w:qFormat/>
    <w:uiPriority w:val="0"/>
    <w:rPr>
      <w:kern w:val="2"/>
      <w:sz w:val="18"/>
      <w:szCs w:val="18"/>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8">
    <w:name w:val="font01"/>
    <w:basedOn w:val="15"/>
    <w:qFormat/>
    <w:uiPriority w:val="0"/>
    <w:rPr>
      <w:rFonts w:hint="eastAsia" w:ascii="宋体" w:hAnsi="宋体" w:eastAsia="宋体" w:cs="宋体"/>
      <w:color w:val="000000"/>
      <w:sz w:val="44"/>
      <w:szCs w:val="44"/>
      <w:u w:val="none"/>
    </w:rPr>
  </w:style>
  <w:style w:type="character" w:customStyle="1" w:styleId="59">
    <w:name w:val="目录 1 Char"/>
    <w:link w:val="10"/>
    <w:qFormat/>
    <w:uiPriority w:val="0"/>
  </w:style>
  <w:style w:type="character" w:customStyle="1" w:styleId="60">
    <w:name w:val="目录 2 Char"/>
    <w:link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7196</Words>
  <Characters>8959</Characters>
  <Lines>102</Lines>
  <Paragraphs>28</Paragraphs>
  <TotalTime>12</TotalTime>
  <ScaleCrop>false</ScaleCrop>
  <LinksUpToDate>false</LinksUpToDate>
  <CharactersWithSpaces>9326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2022-04-19T20:29:00Z</dcterms:created>
  <dc:creator>chengws</dc:creator>
  <cp:lastModifiedBy>lenovo</cp:lastModifiedBy>
  <cp:lastPrinted>2022-04-15T17:24:00Z</cp:lastPrinted>
  <dcterms:modified xsi:type="dcterms:W3CDTF">2023-03-06T02:09:54Z</dcterms:modified>
  <dc:title>附件1：省级部门预算公开说明样式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4C134B6889F848E7A76313CDE5952044</vt:lpwstr>
  </property>
</Properties>
</file>