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8" w:hRule="atLeast"/>
          <w:jc w:val="center"/>
        </w:trPr>
        <w:tc>
          <w:tcPr>
            <w:tcW w:w="9510" w:type="dxa"/>
            <w:tcBorders>
              <w:top w:val="nil"/>
              <w:left w:val="nil"/>
              <w:bottom w:val="nil"/>
              <w:right w:val="nil"/>
            </w:tcBorders>
          </w:tcPr>
          <w:p>
            <w:pPr>
              <w:pStyle w:val="6"/>
              <w:spacing w:line="550" w:lineRule="exact"/>
              <w:rPr>
                <w:rFonts w:hint="eastAsia" w:ascii="仿宋" w:hAnsi="仿宋" w:eastAsia="仿宋" w:cs="仿宋"/>
                <w:b/>
                <w:bCs/>
                <w:color w:val="FF0000"/>
                <w:sz w:val="22"/>
                <w:szCs w:val="22"/>
              </w:rPr>
            </w:pPr>
            <w:bookmarkStart w:id="39" w:name="_GoBack"/>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jc w:val="center"/>
        </w:trPr>
        <w:tc>
          <w:tcPr>
            <w:tcW w:w="951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1100" w:lineRule="exact"/>
              <w:jc w:val="center"/>
              <w:textAlignment w:val="auto"/>
              <w:rPr>
                <w:rFonts w:hint="eastAsia"/>
                <w:sz w:val="72"/>
                <w:szCs w:val="72"/>
                <w:lang w:val="en-US" w:eastAsia="zh-CN"/>
              </w:rPr>
            </w:pPr>
            <w:r>
              <w:rPr>
                <w:sz w:val="72"/>
              </w:rPr>
              <w:t>温州市本级2023年单位预算</w:t>
            </w:r>
          </w:p>
          <w:p>
            <w:pPr>
              <w:keepNext w:val="0"/>
              <w:keepLines w:val="0"/>
              <w:pageBreakBefore w:val="0"/>
              <w:widowControl w:val="0"/>
              <w:kinsoku/>
              <w:wordWrap/>
              <w:overflowPunct/>
              <w:topLinePunct w:val="0"/>
              <w:autoSpaceDE/>
              <w:autoSpaceDN/>
              <w:bidi w:val="0"/>
              <w:adjustRightInd/>
              <w:snapToGrid/>
              <w:spacing w:line="1100" w:lineRule="exact"/>
              <w:jc w:val="center"/>
              <w:textAlignment w:val="auto"/>
              <w:rPr>
                <w:rFonts w:hint="eastAsia"/>
                <w:sz w:val="72"/>
                <w:szCs w:val="72"/>
                <w:lang w:val="en-US" w:eastAsia="zh-CN"/>
              </w:rPr>
            </w:pPr>
            <w:r>
              <w:rPr>
                <w:rFonts w:hint="eastAsia"/>
                <w:sz w:val="72"/>
                <w:szCs w:val="72"/>
                <w:lang w:val="en-US" w:eastAsia="zh-CN"/>
              </w:rPr>
              <w:t>温州市妇女儿童活动中心</w:t>
            </w:r>
          </w:p>
          <w:p>
            <w:pPr>
              <w:pStyle w:val="2"/>
              <w:jc w:val="both"/>
            </w:pPr>
          </w:p>
        </w:tc>
      </w:tr>
    </w:tbl>
    <w:p>
      <w:pPr>
        <w:jc w:val="center"/>
        <w:rPr>
          <w:rFonts w:hint="eastAsia" w:ascii="黑体" w:hAnsi="黑体" w:eastAsia="黑体" w:cs="黑体"/>
          <w:sz w:val="32"/>
          <w:szCs w:val="32"/>
        </w:rPr>
        <w:sectPr>
          <w:footerReference r:id="rId4" w:type="default"/>
          <w:pgSz w:w="11906" w:h="16838"/>
          <w:pgMar w:top="1440" w:right="1803" w:bottom="1440" w:left="1803" w:header="851" w:footer="992" w:gutter="0"/>
          <w:pgNumType w:fmt="numberInDash"/>
          <w:cols w:space="0" w:num="1"/>
          <w:docGrid w:type="lines" w:linePitch="319" w:charSpace="0"/>
        </w:sectPr>
      </w:pPr>
    </w:p>
    <w:p>
      <w:pPr>
        <w:jc w:val="center"/>
        <w:rPr>
          <w:rFonts w:ascii="楷体" w:hAnsi="楷体" w:eastAsia="楷体" w:cs="楷体"/>
          <w:sz w:val="30"/>
          <w:szCs w:val="30"/>
        </w:rPr>
      </w:pPr>
      <w:r>
        <w:rPr>
          <w:rFonts w:hint="eastAsia" w:ascii="黑体" w:hAnsi="黑体" w:eastAsia="黑体" w:cs="黑体"/>
          <w:sz w:val="32"/>
          <w:szCs w:val="32"/>
        </w:rPr>
        <w:t>目录</w:t>
      </w:r>
    </w:p>
    <w:p>
      <w:pPr>
        <w:pStyle w:val="10"/>
        <w:tabs>
          <w:tab w:val="right" w:leader="dot" w:pos="8180"/>
        </w:tabs>
        <w:jc w:val="left"/>
        <w:rPr>
          <w:rStyle w:val="16"/>
          <w:rFonts w:hint="eastAsia" w:ascii="黑体" w:hAnsi="黑体" w:eastAsia="黑体" w:cs="黑体"/>
          <w:b w:val="0"/>
          <w:bCs w:val="0"/>
          <w:color w:val="000000"/>
          <w:sz w:val="32"/>
          <w:szCs w:val="32"/>
          <w:lang w:val="en-US" w:eastAsia="zh-CN" w:bidi="ar-SA"/>
        </w:rPr>
      </w:pPr>
      <w:r>
        <w:rPr>
          <w:rFonts w:hint="eastAsia" w:ascii="楷体" w:hAnsi="楷体" w:eastAsia="楷体" w:cs="楷体"/>
          <w:b w:val="0"/>
          <w:bCs w:val="0"/>
          <w:sz w:val="30"/>
          <w:szCs w:val="30"/>
        </w:rPr>
        <w:fldChar w:fldCharType="begin"/>
      </w:r>
      <w:r>
        <w:rPr>
          <w:rFonts w:hint="eastAsia" w:ascii="楷体" w:hAnsi="楷体" w:eastAsia="楷体" w:cs="楷体"/>
          <w:b w:val="0"/>
          <w:bCs w:val="0"/>
          <w:sz w:val="30"/>
          <w:szCs w:val="30"/>
        </w:rPr>
        <w:instrText xml:space="preserve">TOC \o "1-2" \h \u </w:instrText>
      </w:r>
      <w:r>
        <w:rPr>
          <w:rFonts w:hint="eastAsia" w:ascii="楷体" w:hAnsi="楷体" w:eastAsia="楷体" w:cs="楷体"/>
          <w:b w:val="0"/>
          <w:bCs w:val="0"/>
          <w:sz w:val="30"/>
          <w:szCs w:val="30"/>
        </w:rPr>
        <w:fldChar w:fldCharType="separate"/>
      </w:r>
      <w:r>
        <w:rPr>
          <w:rStyle w:val="16"/>
          <w:rFonts w:hint="eastAsia" w:ascii="黑体" w:hAnsi="黑体" w:eastAsia="黑体" w:cs="黑体"/>
          <w:b w:val="0"/>
          <w:bCs w:val="0"/>
          <w:color w:val="000000"/>
          <w:sz w:val="32"/>
          <w:szCs w:val="32"/>
          <w:lang w:val="en-US" w:eastAsia="zh-CN" w:bidi="ar-SA"/>
        </w:rPr>
        <w:fldChar w:fldCharType="begin"/>
      </w:r>
      <w:r>
        <w:rPr>
          <w:rStyle w:val="16"/>
          <w:rFonts w:hint="eastAsia" w:ascii="黑体" w:hAnsi="黑体" w:eastAsia="黑体" w:cs="黑体"/>
          <w:b w:val="0"/>
          <w:bCs w:val="0"/>
          <w:color w:val="000000"/>
          <w:sz w:val="32"/>
          <w:szCs w:val="32"/>
          <w:lang w:val="en-US" w:eastAsia="zh-CN" w:bidi="ar-SA"/>
        </w:rPr>
        <w:instrText xml:space="preserve"> HYPERLINK \l _Toc22549 </w:instrText>
      </w:r>
      <w:r>
        <w:rPr>
          <w:rStyle w:val="16"/>
          <w:rFonts w:hint="eastAsia" w:ascii="黑体" w:hAnsi="黑体" w:eastAsia="黑体" w:cs="黑体"/>
          <w:b w:val="0"/>
          <w:bCs w:val="0"/>
          <w:color w:val="000000"/>
          <w:sz w:val="32"/>
          <w:szCs w:val="32"/>
          <w:lang w:val="en-US" w:eastAsia="zh-CN" w:bidi="ar-SA"/>
        </w:rPr>
        <w:fldChar w:fldCharType="separate"/>
      </w:r>
      <w:r>
        <w:rPr>
          <w:rStyle w:val="16"/>
          <w:rFonts w:hint="eastAsia" w:ascii="黑体" w:hAnsi="黑体" w:eastAsia="黑体" w:cs="黑体"/>
          <w:b w:val="0"/>
          <w:bCs w:val="0"/>
          <w:color w:val="000000"/>
          <w:sz w:val="32"/>
          <w:szCs w:val="32"/>
          <w:lang w:val="en-US" w:eastAsia="zh-CN" w:bidi="ar-SA"/>
        </w:rPr>
        <w:t>一、</w:t>
      </w:r>
      <w:r>
        <w:rPr>
          <w:rStyle w:val="16"/>
          <w:rFonts w:ascii="黑体" w:hAnsi="黑体" w:eastAsia="黑体" w:cs="黑体"/>
          <w:color w:val="000000"/>
          <w:sz w:val="32"/>
        </w:rPr>
        <w:t>单位概况</w:t>
      </w:r>
      <w:r>
        <w:rPr>
          <w:rStyle w:val="16"/>
          <w:rFonts w:hint="eastAsia" w:ascii="黑体" w:hAnsi="黑体" w:eastAsia="黑体" w:cs="黑体"/>
          <w:b w:val="0"/>
          <w:bCs w:val="0"/>
          <w:color w:val="000000"/>
          <w:sz w:val="32"/>
          <w:szCs w:val="32"/>
          <w:lang w:val="en-US" w:eastAsia="zh-CN" w:bidi="ar-SA"/>
        </w:rPr>
        <w:tab/>
      </w:r>
      <w:r>
        <w:rPr>
          <w:rFonts w:hint="eastAsia" w:ascii="黑体" w:hAnsi="黑体" w:eastAsia="黑体" w:cs="黑体"/>
          <w:b w:val="0"/>
          <w:bCs w:val="0"/>
          <w:sz w:val="32"/>
          <w:szCs w:val="32"/>
          <w:lang w:val="en-US" w:eastAsia="zh-CN"/>
        </w:rPr>
        <w:t>3</w:t>
      </w:r>
      <w:r>
        <w:rPr>
          <w:rStyle w:val="16"/>
          <w:rFonts w:hint="eastAsia" w:ascii="黑体" w:hAnsi="黑体" w:eastAsia="黑体" w:cs="黑体"/>
          <w:b w:val="0"/>
          <w:bCs w:val="0"/>
          <w:color w:val="000000"/>
          <w:sz w:val="32"/>
          <w:szCs w:val="32"/>
          <w:lang w:val="en-US" w:eastAsia="zh-CN" w:bidi="ar-SA"/>
        </w:rPr>
        <w:fldChar w:fldCharType="end"/>
      </w:r>
    </w:p>
    <w:p>
      <w:pPr>
        <w:pStyle w:val="57"/>
        <w:tabs>
          <w:tab w:val="right" w:leader="dot" w:pos="8180"/>
        </w:tabs>
        <w:ind w:left="420"/>
        <w:rPr>
          <w:rFonts w:hint="eastAsia" w:ascii="楷体" w:hAnsi="楷体" w:eastAsia="楷体" w:cs="楷体"/>
          <w:b w:val="0"/>
          <w:bCs w:val="0"/>
          <w:sz w:val="30"/>
          <w:szCs w:val="30"/>
          <w:lang w:val="en-US" w:eastAsia="zh-CN"/>
        </w:rPr>
      </w:pPr>
      <w:r>
        <w:rPr>
          <w:rFonts w:hint="eastAsia" w:ascii="楷体" w:hAnsi="楷体" w:eastAsia="楷体" w:cs="楷体"/>
          <w:b w:val="0"/>
          <w:bCs w:val="0"/>
          <w:sz w:val="30"/>
          <w:szCs w:val="30"/>
          <w:lang w:val="en-US" w:eastAsia="zh-CN"/>
        </w:rPr>
        <w:fldChar w:fldCharType="begin"/>
      </w:r>
      <w:r>
        <w:rPr>
          <w:rFonts w:hint="eastAsia" w:ascii="楷体" w:hAnsi="楷体" w:eastAsia="楷体" w:cs="楷体"/>
          <w:b w:val="0"/>
          <w:bCs w:val="0"/>
          <w:sz w:val="30"/>
          <w:szCs w:val="30"/>
          <w:lang w:val="en-US" w:eastAsia="zh-CN"/>
        </w:rPr>
        <w:instrText xml:space="preserve"> HYPERLINK \l _Toc14256 </w:instrText>
      </w:r>
      <w:r>
        <w:rPr>
          <w:rFonts w:hint="eastAsia" w:ascii="楷体" w:hAnsi="楷体" w:eastAsia="楷体" w:cs="楷体"/>
          <w:b w:val="0"/>
          <w:bCs w:val="0"/>
          <w:sz w:val="30"/>
          <w:szCs w:val="30"/>
          <w:lang w:val="en-US" w:eastAsia="zh-CN"/>
        </w:rPr>
        <w:fldChar w:fldCharType="separate"/>
      </w:r>
      <w:r>
        <w:rPr>
          <w:rStyle w:val="16"/>
          <w:rFonts w:hint="eastAsia" w:ascii="楷体" w:hAnsi="楷体" w:eastAsia="楷体" w:cs="楷体"/>
          <w:b w:val="0"/>
          <w:bCs w:val="0"/>
          <w:sz w:val="30"/>
          <w:szCs w:val="30"/>
          <w:lang w:val="en-US" w:eastAsia="zh-CN"/>
        </w:rPr>
        <w:t>（一）主要职能</w:t>
      </w:r>
      <w:r>
        <w:rPr>
          <w:rStyle w:val="16"/>
          <w:rFonts w:hint="eastAsia" w:ascii="楷体" w:hAnsi="楷体" w:eastAsia="楷体" w:cs="楷体"/>
          <w:b w:val="0"/>
          <w:bCs w:val="0"/>
          <w:sz w:val="30"/>
          <w:szCs w:val="30"/>
          <w:lang w:val="en-US" w:eastAsia="zh-CN"/>
        </w:rPr>
        <w:tab/>
      </w:r>
      <w:r>
        <w:rPr>
          <w:rStyle w:val="59"/>
          <w:rFonts w:hint="eastAsia" w:ascii="楷体" w:hAnsi="楷体" w:eastAsia="楷体" w:cs="楷体"/>
          <w:b w:val="0"/>
          <w:bCs w:val="0"/>
          <w:sz w:val="30"/>
          <w:szCs w:val="30"/>
          <w:lang w:val="en-US" w:eastAsia="zh-CN"/>
        </w:rPr>
        <w:t>3</w:t>
      </w:r>
      <w:r>
        <w:rPr>
          <w:rFonts w:hint="eastAsia" w:ascii="楷体" w:hAnsi="楷体" w:eastAsia="楷体" w:cs="楷体"/>
          <w:b w:val="0"/>
          <w:bCs w:val="0"/>
          <w:sz w:val="30"/>
          <w:szCs w:val="30"/>
          <w:lang w:val="en-US" w:eastAsia="zh-CN"/>
        </w:rPr>
        <w:fldChar w:fldCharType="end"/>
      </w:r>
    </w:p>
    <w:p>
      <w:pPr>
        <w:pStyle w:val="57"/>
        <w:tabs>
          <w:tab w:val="right" w:leader="dot" w:pos="8180"/>
        </w:tabs>
        <w:rPr>
          <w:rFonts w:hint="eastAsia" w:ascii="楷体" w:hAnsi="楷体" w:eastAsia="楷体" w:cs="楷体"/>
          <w:b w:val="0"/>
          <w:bCs w:val="0"/>
          <w:sz w:val="30"/>
          <w:szCs w:val="30"/>
          <w:lang w:val="en-US" w:eastAsia="zh-CN"/>
        </w:rPr>
      </w:pPr>
      <w:r>
        <w:rPr>
          <w:rFonts w:hint="eastAsia" w:ascii="楷体" w:hAnsi="楷体" w:eastAsia="楷体" w:cs="楷体"/>
          <w:b w:val="0"/>
          <w:bCs w:val="0"/>
          <w:sz w:val="30"/>
          <w:szCs w:val="30"/>
          <w:lang w:val="en-US" w:eastAsia="zh-CN"/>
        </w:rPr>
        <w:fldChar w:fldCharType="begin"/>
      </w:r>
      <w:r>
        <w:rPr>
          <w:rFonts w:hint="eastAsia" w:ascii="楷体" w:hAnsi="楷体" w:eastAsia="楷体" w:cs="楷体"/>
          <w:b w:val="0"/>
          <w:bCs w:val="0"/>
          <w:sz w:val="30"/>
          <w:szCs w:val="30"/>
          <w:lang w:val="en-US" w:eastAsia="zh-CN"/>
        </w:rPr>
        <w:instrText xml:space="preserve"> HYPERLINK \l _Toc14256 </w:instrText>
      </w:r>
      <w:r>
        <w:rPr>
          <w:rFonts w:hint="eastAsia" w:ascii="楷体" w:hAnsi="楷体" w:eastAsia="楷体" w:cs="楷体"/>
          <w:b w:val="0"/>
          <w:bCs w:val="0"/>
          <w:sz w:val="30"/>
          <w:szCs w:val="30"/>
          <w:lang w:val="en-US" w:eastAsia="zh-CN"/>
        </w:rPr>
        <w:fldChar w:fldCharType="separate"/>
      </w:r>
      <w:r>
        <w:rPr>
          <w:rStyle w:val="59"/>
          <w:rFonts w:hint="eastAsia" w:ascii="楷体" w:hAnsi="楷体" w:eastAsia="楷体" w:cs="楷体"/>
          <w:sz w:val="30"/>
          <w:szCs w:val="30"/>
          <w:lang w:val="en-US" w:eastAsia="zh-CN"/>
        </w:rPr>
        <w:t>（二）</w:t>
      </w:r>
      <w:r>
        <w:rPr>
          <w:rStyle w:val="59"/>
          <w:rFonts w:ascii="楷体" w:hAnsi="楷体" w:eastAsia="楷体" w:cs="楷体"/>
          <w:sz w:val="30"/>
        </w:rPr>
        <w:t>单位机构设置情况</w:t>
      </w:r>
      <w:r>
        <w:rPr>
          <w:rStyle w:val="59"/>
          <w:rFonts w:hint="eastAsia" w:ascii="楷体" w:hAnsi="楷体" w:eastAsia="楷体" w:cs="楷体"/>
          <w:sz w:val="30"/>
          <w:szCs w:val="30"/>
          <w:lang w:val="en-US" w:eastAsia="zh-CN"/>
        </w:rPr>
        <w:tab/>
      </w:r>
      <w:r>
        <w:rPr>
          <w:rStyle w:val="59"/>
          <w:rFonts w:hint="eastAsia" w:ascii="楷体" w:hAnsi="楷体" w:eastAsia="楷体" w:cs="楷体"/>
          <w:b w:val="0"/>
          <w:bCs w:val="0"/>
          <w:sz w:val="30"/>
          <w:szCs w:val="30"/>
          <w:lang w:val="en-US" w:eastAsia="zh-CN"/>
        </w:rPr>
        <w:t>3</w:t>
      </w:r>
      <w:r>
        <w:rPr>
          <w:rFonts w:hint="eastAsia" w:ascii="楷体" w:hAnsi="楷体" w:eastAsia="楷体" w:cs="楷体"/>
          <w:b w:val="0"/>
          <w:bCs w:val="0"/>
          <w:sz w:val="30"/>
          <w:szCs w:val="30"/>
          <w:lang w:val="en-US" w:eastAsia="zh-CN"/>
        </w:rPr>
        <w:fldChar w:fldCharType="end"/>
      </w:r>
    </w:p>
    <w:p>
      <w:pPr>
        <w:pStyle w:val="10"/>
        <w:tabs>
          <w:tab w:val="right" w:leader="dot" w:pos="8180"/>
        </w:tabs>
        <w:jc w:val="left"/>
        <w:rPr>
          <w:rStyle w:val="16"/>
          <w:rFonts w:hint="eastAsia" w:ascii="黑体" w:hAnsi="黑体" w:eastAsia="黑体" w:cs="黑体"/>
          <w:b w:val="0"/>
          <w:bCs w:val="0"/>
          <w:color w:val="000000"/>
          <w:sz w:val="32"/>
          <w:szCs w:val="32"/>
          <w:lang w:val="en-US" w:eastAsia="zh-CN" w:bidi="ar-SA"/>
        </w:rPr>
      </w:pPr>
      <w:r>
        <w:rPr>
          <w:rStyle w:val="16"/>
          <w:rFonts w:hint="eastAsia" w:ascii="黑体" w:hAnsi="黑体" w:eastAsia="黑体" w:cs="黑体"/>
          <w:b w:val="0"/>
          <w:bCs w:val="0"/>
          <w:color w:val="000000"/>
          <w:sz w:val="32"/>
          <w:szCs w:val="32"/>
          <w:lang w:val="en-US" w:eastAsia="zh-CN" w:bidi="ar-SA"/>
        </w:rPr>
        <w:fldChar w:fldCharType="begin"/>
      </w:r>
      <w:r>
        <w:rPr>
          <w:rStyle w:val="16"/>
          <w:rFonts w:hint="eastAsia" w:ascii="黑体" w:hAnsi="黑体" w:eastAsia="黑体" w:cs="黑体"/>
          <w:b w:val="0"/>
          <w:bCs w:val="0"/>
          <w:color w:val="000000"/>
          <w:sz w:val="32"/>
          <w:szCs w:val="32"/>
          <w:lang w:val="en-US" w:eastAsia="zh-CN" w:bidi="ar-SA"/>
        </w:rPr>
        <w:instrText xml:space="preserve"> HYPERLINK \l _Toc13054 </w:instrText>
      </w:r>
      <w:r>
        <w:rPr>
          <w:rStyle w:val="16"/>
          <w:rFonts w:hint="eastAsia" w:ascii="黑体" w:hAnsi="黑体" w:eastAsia="黑体" w:cs="黑体"/>
          <w:b w:val="0"/>
          <w:bCs w:val="0"/>
          <w:color w:val="000000"/>
          <w:sz w:val="32"/>
          <w:szCs w:val="32"/>
          <w:lang w:val="en-US" w:eastAsia="zh-CN" w:bidi="ar-SA"/>
        </w:rPr>
        <w:fldChar w:fldCharType="separate"/>
      </w:r>
      <w:r>
        <w:rPr>
          <w:rStyle w:val="16"/>
          <w:rFonts w:hint="eastAsia" w:ascii="黑体" w:hAnsi="黑体" w:eastAsia="黑体" w:cs="黑体"/>
          <w:b w:val="0"/>
          <w:bCs w:val="0"/>
          <w:color w:val="000000"/>
          <w:sz w:val="32"/>
          <w:szCs w:val="32"/>
          <w:lang w:val="en-US" w:eastAsia="zh-CN" w:bidi="ar-SA"/>
        </w:rPr>
        <w:t xml:space="preserve">二、 </w:t>
      </w:r>
      <w:r>
        <w:rPr>
          <w:rStyle w:val="16"/>
          <w:rFonts w:ascii="黑体" w:hAnsi="黑体" w:eastAsia="黑体" w:cs="黑体"/>
          <w:color w:val="000000"/>
          <w:sz w:val="32"/>
        </w:rPr>
        <w:t>2023年单位预算安排情况说明</w:t>
      </w:r>
      <w:r>
        <w:rPr>
          <w:rStyle w:val="16"/>
          <w:rFonts w:hint="eastAsia" w:ascii="黑体" w:hAnsi="黑体" w:eastAsia="黑体" w:cs="黑体"/>
          <w:b w:val="0"/>
          <w:bCs w:val="0"/>
          <w:color w:val="000000"/>
          <w:sz w:val="32"/>
          <w:szCs w:val="32"/>
          <w:lang w:val="en-US" w:eastAsia="zh-CN" w:bidi="ar-SA"/>
        </w:rPr>
        <w:tab/>
      </w:r>
      <w:r>
        <w:rPr>
          <w:rFonts w:hint="eastAsia" w:ascii="黑体" w:hAnsi="黑体" w:eastAsia="黑体" w:cs="黑体"/>
          <w:b w:val="0"/>
          <w:bCs w:val="0"/>
          <w:sz w:val="32"/>
          <w:szCs w:val="32"/>
          <w:lang w:val="en-US" w:eastAsia="zh-CN"/>
        </w:rPr>
        <w:t>3</w:t>
      </w:r>
      <w:r>
        <w:rPr>
          <w:rStyle w:val="16"/>
          <w:rFonts w:hint="eastAsia" w:ascii="黑体" w:hAnsi="黑体" w:eastAsia="黑体" w:cs="黑体"/>
          <w:b w:val="0"/>
          <w:bCs w:val="0"/>
          <w:color w:val="000000"/>
          <w:sz w:val="32"/>
          <w:szCs w:val="32"/>
          <w:lang w:val="en-US" w:eastAsia="zh-CN" w:bidi="ar-SA"/>
        </w:rPr>
        <w:fldChar w:fldCharType="end"/>
      </w:r>
    </w:p>
    <w:p>
      <w:pPr>
        <w:pStyle w:val="57"/>
        <w:tabs>
          <w:tab w:val="right" w:leader="dot" w:pos="8180"/>
        </w:tabs>
        <w:ind w:left="420"/>
        <w:rPr>
          <w:rFonts w:hint="eastAsia" w:ascii="楷体" w:hAnsi="楷体" w:eastAsia="楷体" w:cs="楷体"/>
          <w:b w:val="0"/>
          <w:bCs w:val="0"/>
          <w:sz w:val="30"/>
          <w:szCs w:val="30"/>
          <w:lang w:eastAsia="zh-CN"/>
        </w:rPr>
      </w:pPr>
      <w:r>
        <w:rPr>
          <w:rFonts w:hint="eastAsia" w:ascii="楷体" w:hAnsi="楷体" w:eastAsia="楷体" w:cs="楷体"/>
          <w:b w:val="0"/>
          <w:bCs w:val="0"/>
          <w:sz w:val="30"/>
          <w:szCs w:val="30"/>
          <w:lang w:eastAsia="zh-CN"/>
        </w:rPr>
        <w:fldChar w:fldCharType="begin"/>
      </w:r>
      <w:r>
        <w:rPr>
          <w:rFonts w:hint="eastAsia" w:ascii="楷体" w:hAnsi="楷体" w:eastAsia="楷体" w:cs="楷体"/>
          <w:b w:val="0"/>
          <w:bCs w:val="0"/>
          <w:sz w:val="30"/>
          <w:szCs w:val="30"/>
          <w:lang w:eastAsia="zh-CN"/>
        </w:rPr>
        <w:instrText xml:space="preserve"> HYPERLINK \l _Toc5121 </w:instrText>
      </w:r>
      <w:r>
        <w:rPr>
          <w:rFonts w:hint="eastAsia" w:ascii="楷体" w:hAnsi="楷体" w:eastAsia="楷体" w:cs="楷体"/>
          <w:b w:val="0"/>
          <w:bCs w:val="0"/>
          <w:sz w:val="30"/>
          <w:szCs w:val="30"/>
          <w:lang w:eastAsia="zh-CN"/>
        </w:rPr>
        <w:fldChar w:fldCharType="separate"/>
      </w:r>
      <w:r>
        <w:rPr>
          <w:rFonts w:hint="eastAsia" w:ascii="楷体" w:hAnsi="楷体" w:eastAsia="楷体" w:cs="楷体"/>
          <w:b w:val="0"/>
          <w:bCs w:val="0"/>
          <w:sz w:val="30"/>
          <w:szCs w:val="30"/>
          <w:lang w:eastAsia="zh-CN"/>
        </w:rPr>
        <w:t>（一）收支预算情况的总体说明</w:t>
      </w:r>
      <w:r>
        <w:rPr>
          <w:rFonts w:hint="eastAsia" w:ascii="楷体" w:hAnsi="楷体" w:eastAsia="楷体" w:cs="楷体"/>
          <w:b w:val="0"/>
          <w:bCs w:val="0"/>
          <w:sz w:val="30"/>
          <w:szCs w:val="30"/>
          <w:lang w:eastAsia="zh-CN"/>
        </w:rPr>
        <w:fldChar w:fldCharType="end"/>
      </w:r>
      <w:r>
        <w:rPr>
          <w:rFonts w:hint="eastAsia" w:ascii="楷体" w:hAnsi="楷体" w:eastAsia="楷体" w:cs="楷体"/>
          <w:b w:val="0"/>
          <w:bCs w:val="0"/>
          <w:sz w:val="30"/>
          <w:szCs w:val="30"/>
          <w:lang w:eastAsia="zh-CN"/>
        </w:rPr>
        <w:tab/>
      </w:r>
      <w:r>
        <w:rPr>
          <w:rFonts w:hint="eastAsia" w:ascii="楷体" w:hAnsi="楷体" w:eastAsia="楷体" w:cs="楷体"/>
          <w:b w:val="0"/>
          <w:bCs w:val="0"/>
          <w:sz w:val="30"/>
          <w:szCs w:val="30"/>
          <w:lang w:val="en-US" w:eastAsia="zh-CN"/>
        </w:rPr>
        <w:t>3</w:t>
      </w:r>
    </w:p>
    <w:p>
      <w:pPr>
        <w:pStyle w:val="57"/>
        <w:tabs>
          <w:tab w:val="right" w:leader="dot" w:pos="8180"/>
        </w:tabs>
        <w:ind w:left="420"/>
        <w:rPr>
          <w:rFonts w:hint="eastAsia" w:ascii="楷体" w:hAnsi="楷体" w:eastAsia="楷体" w:cs="楷体"/>
          <w:b w:val="0"/>
          <w:bCs w:val="0"/>
          <w:sz w:val="30"/>
          <w:szCs w:val="30"/>
          <w:lang w:eastAsia="zh-CN"/>
        </w:rPr>
      </w:pPr>
      <w:r>
        <w:rPr>
          <w:rFonts w:hint="eastAsia" w:ascii="楷体" w:hAnsi="楷体" w:eastAsia="楷体" w:cs="楷体"/>
          <w:b w:val="0"/>
          <w:bCs w:val="0"/>
          <w:sz w:val="30"/>
          <w:szCs w:val="30"/>
          <w:lang w:eastAsia="zh-CN"/>
        </w:rPr>
        <w:fldChar w:fldCharType="begin"/>
      </w:r>
      <w:r>
        <w:rPr>
          <w:rFonts w:hint="eastAsia" w:ascii="楷体" w:hAnsi="楷体" w:eastAsia="楷体" w:cs="楷体"/>
          <w:b w:val="0"/>
          <w:bCs w:val="0"/>
          <w:sz w:val="30"/>
          <w:szCs w:val="30"/>
          <w:lang w:eastAsia="zh-CN"/>
        </w:rPr>
        <w:instrText xml:space="preserve"> HYPERLINK \l _Toc20215 </w:instrText>
      </w:r>
      <w:r>
        <w:rPr>
          <w:rFonts w:hint="eastAsia" w:ascii="楷体" w:hAnsi="楷体" w:eastAsia="楷体" w:cs="楷体"/>
          <w:b w:val="0"/>
          <w:bCs w:val="0"/>
          <w:sz w:val="30"/>
          <w:szCs w:val="30"/>
          <w:lang w:eastAsia="zh-CN"/>
        </w:rPr>
        <w:fldChar w:fldCharType="separate"/>
      </w:r>
      <w:r>
        <w:rPr>
          <w:rFonts w:hint="eastAsia" w:ascii="楷体" w:hAnsi="楷体" w:eastAsia="楷体" w:cs="楷体"/>
          <w:b w:val="0"/>
          <w:bCs w:val="0"/>
          <w:sz w:val="30"/>
          <w:szCs w:val="30"/>
          <w:lang w:eastAsia="zh-CN"/>
        </w:rPr>
        <w:t>（二）收入预算情况说明</w:t>
      </w:r>
      <w:r>
        <w:rPr>
          <w:rFonts w:hint="eastAsia" w:ascii="楷体" w:hAnsi="楷体" w:eastAsia="楷体" w:cs="楷体"/>
          <w:b w:val="0"/>
          <w:bCs w:val="0"/>
          <w:sz w:val="30"/>
          <w:szCs w:val="30"/>
          <w:lang w:eastAsia="zh-CN"/>
        </w:rPr>
        <w:fldChar w:fldCharType="end"/>
      </w:r>
      <w:r>
        <w:rPr>
          <w:rFonts w:hint="eastAsia" w:ascii="楷体" w:hAnsi="楷体" w:eastAsia="楷体" w:cs="楷体"/>
          <w:b w:val="0"/>
          <w:bCs w:val="0"/>
          <w:sz w:val="30"/>
          <w:szCs w:val="30"/>
          <w:lang w:eastAsia="zh-CN"/>
        </w:rPr>
        <w:tab/>
      </w:r>
      <w:r>
        <w:rPr>
          <w:rFonts w:hint="eastAsia" w:ascii="楷体" w:hAnsi="楷体" w:eastAsia="楷体" w:cs="楷体"/>
          <w:b w:val="0"/>
          <w:bCs w:val="0"/>
          <w:sz w:val="30"/>
          <w:szCs w:val="30"/>
          <w:lang w:val="en-US" w:eastAsia="zh-CN"/>
        </w:rPr>
        <w:t>3</w:t>
      </w:r>
    </w:p>
    <w:p>
      <w:pPr>
        <w:pStyle w:val="57"/>
        <w:tabs>
          <w:tab w:val="right" w:leader="dot" w:pos="8180"/>
        </w:tabs>
        <w:ind w:left="420"/>
        <w:rPr>
          <w:rFonts w:hint="eastAsia" w:ascii="楷体" w:hAnsi="楷体" w:eastAsia="楷体" w:cs="楷体"/>
          <w:b w:val="0"/>
          <w:bCs w:val="0"/>
          <w:sz w:val="30"/>
          <w:szCs w:val="30"/>
          <w:lang w:eastAsia="zh-CN"/>
        </w:rPr>
      </w:pPr>
      <w:r>
        <w:rPr>
          <w:rFonts w:hint="eastAsia" w:ascii="楷体" w:hAnsi="楷体" w:eastAsia="楷体" w:cs="楷体"/>
          <w:b w:val="0"/>
          <w:bCs w:val="0"/>
          <w:sz w:val="30"/>
          <w:szCs w:val="30"/>
          <w:lang w:eastAsia="zh-CN"/>
        </w:rPr>
        <w:fldChar w:fldCharType="begin"/>
      </w:r>
      <w:r>
        <w:rPr>
          <w:rFonts w:hint="eastAsia" w:ascii="楷体" w:hAnsi="楷体" w:eastAsia="楷体" w:cs="楷体"/>
          <w:b w:val="0"/>
          <w:bCs w:val="0"/>
          <w:sz w:val="30"/>
          <w:szCs w:val="30"/>
          <w:lang w:eastAsia="zh-CN"/>
        </w:rPr>
        <w:instrText xml:space="preserve"> HYPERLINK \l _Toc15568 </w:instrText>
      </w:r>
      <w:r>
        <w:rPr>
          <w:rFonts w:hint="eastAsia" w:ascii="楷体" w:hAnsi="楷体" w:eastAsia="楷体" w:cs="楷体"/>
          <w:b w:val="0"/>
          <w:bCs w:val="0"/>
          <w:sz w:val="30"/>
          <w:szCs w:val="30"/>
          <w:lang w:eastAsia="zh-CN"/>
        </w:rPr>
        <w:fldChar w:fldCharType="separate"/>
      </w:r>
      <w:r>
        <w:rPr>
          <w:rFonts w:hint="eastAsia" w:ascii="楷体" w:hAnsi="楷体" w:eastAsia="楷体" w:cs="楷体"/>
          <w:b w:val="0"/>
          <w:bCs w:val="0"/>
          <w:sz w:val="30"/>
          <w:szCs w:val="30"/>
          <w:lang w:eastAsia="zh-CN"/>
        </w:rPr>
        <w:t>（三）支出预算情况说明</w:t>
      </w:r>
      <w:r>
        <w:rPr>
          <w:rFonts w:hint="eastAsia" w:ascii="楷体" w:hAnsi="楷体" w:eastAsia="楷体" w:cs="楷体"/>
          <w:b w:val="0"/>
          <w:bCs w:val="0"/>
          <w:sz w:val="30"/>
          <w:szCs w:val="30"/>
          <w:lang w:eastAsia="zh-CN"/>
        </w:rPr>
        <w:fldChar w:fldCharType="end"/>
      </w:r>
      <w:r>
        <w:rPr>
          <w:rFonts w:hint="eastAsia" w:ascii="楷体" w:hAnsi="楷体" w:eastAsia="楷体" w:cs="楷体"/>
          <w:b w:val="0"/>
          <w:bCs w:val="0"/>
          <w:sz w:val="30"/>
          <w:szCs w:val="30"/>
          <w:lang w:eastAsia="zh-CN"/>
        </w:rPr>
        <w:tab/>
      </w:r>
      <w:r>
        <w:rPr>
          <w:rFonts w:hint="eastAsia" w:ascii="楷体" w:hAnsi="楷体" w:eastAsia="楷体" w:cs="楷体"/>
          <w:b w:val="0"/>
          <w:bCs w:val="0"/>
          <w:sz w:val="30"/>
          <w:szCs w:val="30"/>
          <w:lang w:val="en-US" w:eastAsia="zh-CN"/>
        </w:rPr>
        <w:t>3</w:t>
      </w:r>
    </w:p>
    <w:p>
      <w:pPr>
        <w:pStyle w:val="57"/>
        <w:tabs>
          <w:tab w:val="right" w:leader="dot" w:pos="8180"/>
        </w:tabs>
        <w:ind w:left="420"/>
        <w:rPr>
          <w:rFonts w:hint="eastAsia" w:ascii="楷体" w:hAnsi="楷体" w:eastAsia="楷体" w:cs="楷体"/>
          <w:b w:val="0"/>
          <w:bCs w:val="0"/>
          <w:sz w:val="30"/>
          <w:szCs w:val="30"/>
          <w:lang w:eastAsia="zh-CN"/>
        </w:rPr>
      </w:pPr>
      <w:r>
        <w:rPr>
          <w:rFonts w:hint="eastAsia" w:ascii="楷体" w:hAnsi="楷体" w:eastAsia="楷体" w:cs="楷体"/>
          <w:b w:val="0"/>
          <w:bCs w:val="0"/>
          <w:sz w:val="30"/>
          <w:szCs w:val="30"/>
          <w:lang w:eastAsia="zh-CN"/>
        </w:rPr>
        <w:fldChar w:fldCharType="begin"/>
      </w:r>
      <w:r>
        <w:rPr>
          <w:rFonts w:hint="eastAsia" w:ascii="楷体" w:hAnsi="楷体" w:eastAsia="楷体" w:cs="楷体"/>
          <w:b w:val="0"/>
          <w:bCs w:val="0"/>
          <w:sz w:val="30"/>
          <w:szCs w:val="30"/>
          <w:lang w:eastAsia="zh-CN"/>
        </w:rPr>
        <w:instrText xml:space="preserve"> HYPERLINK \l _Toc21189 </w:instrText>
      </w:r>
      <w:r>
        <w:rPr>
          <w:rFonts w:hint="eastAsia" w:ascii="楷体" w:hAnsi="楷体" w:eastAsia="楷体" w:cs="楷体"/>
          <w:b w:val="0"/>
          <w:bCs w:val="0"/>
          <w:sz w:val="30"/>
          <w:szCs w:val="30"/>
          <w:lang w:eastAsia="zh-CN"/>
        </w:rPr>
        <w:fldChar w:fldCharType="separate"/>
      </w:r>
      <w:r>
        <w:rPr>
          <w:rFonts w:hint="eastAsia" w:ascii="楷体" w:hAnsi="楷体" w:eastAsia="楷体" w:cs="楷体"/>
          <w:b w:val="0"/>
          <w:bCs w:val="0"/>
          <w:sz w:val="30"/>
          <w:szCs w:val="30"/>
          <w:lang w:eastAsia="zh-CN"/>
        </w:rPr>
        <w:t>（四）财政拨款收支预算情况的总体说明</w:t>
      </w:r>
      <w:r>
        <w:rPr>
          <w:rFonts w:hint="eastAsia" w:ascii="楷体" w:hAnsi="楷体" w:eastAsia="楷体" w:cs="楷体"/>
          <w:b w:val="0"/>
          <w:bCs w:val="0"/>
          <w:sz w:val="30"/>
          <w:szCs w:val="30"/>
          <w:lang w:eastAsia="zh-CN"/>
        </w:rPr>
        <w:fldChar w:fldCharType="end"/>
      </w:r>
      <w:r>
        <w:rPr>
          <w:rFonts w:hint="eastAsia" w:ascii="楷体" w:hAnsi="楷体" w:eastAsia="楷体" w:cs="楷体"/>
          <w:b w:val="0"/>
          <w:bCs w:val="0"/>
          <w:sz w:val="30"/>
          <w:szCs w:val="30"/>
          <w:lang w:eastAsia="zh-CN"/>
        </w:rPr>
        <w:tab/>
      </w:r>
      <w:r>
        <w:rPr>
          <w:rFonts w:hint="eastAsia" w:ascii="楷体" w:hAnsi="楷体" w:eastAsia="楷体" w:cs="楷体"/>
          <w:b w:val="0"/>
          <w:bCs w:val="0"/>
          <w:sz w:val="30"/>
          <w:szCs w:val="30"/>
          <w:lang w:val="en-US" w:eastAsia="zh-CN"/>
        </w:rPr>
        <w:t>4</w:t>
      </w:r>
    </w:p>
    <w:p>
      <w:pPr>
        <w:pStyle w:val="57"/>
        <w:tabs>
          <w:tab w:val="right" w:leader="dot" w:pos="8180"/>
        </w:tabs>
        <w:ind w:left="420"/>
        <w:rPr>
          <w:rFonts w:hint="eastAsia" w:ascii="楷体" w:hAnsi="楷体" w:eastAsia="楷体" w:cs="楷体"/>
          <w:b w:val="0"/>
          <w:bCs w:val="0"/>
          <w:sz w:val="30"/>
          <w:szCs w:val="30"/>
          <w:lang w:eastAsia="zh-CN"/>
        </w:rPr>
      </w:pPr>
      <w:r>
        <w:rPr>
          <w:rFonts w:hint="eastAsia" w:ascii="楷体" w:hAnsi="楷体" w:eastAsia="楷体" w:cs="楷体"/>
          <w:b w:val="0"/>
          <w:bCs w:val="0"/>
          <w:sz w:val="30"/>
          <w:szCs w:val="30"/>
          <w:lang w:eastAsia="zh-CN"/>
        </w:rPr>
        <w:fldChar w:fldCharType="begin"/>
      </w:r>
      <w:r>
        <w:rPr>
          <w:rFonts w:hint="eastAsia" w:ascii="楷体" w:hAnsi="楷体" w:eastAsia="楷体" w:cs="楷体"/>
          <w:b w:val="0"/>
          <w:bCs w:val="0"/>
          <w:sz w:val="30"/>
          <w:szCs w:val="30"/>
          <w:lang w:eastAsia="zh-CN"/>
        </w:rPr>
        <w:instrText xml:space="preserve"> HYPERLINK \l _Toc32602 </w:instrText>
      </w:r>
      <w:r>
        <w:rPr>
          <w:rFonts w:hint="eastAsia" w:ascii="楷体" w:hAnsi="楷体" w:eastAsia="楷体" w:cs="楷体"/>
          <w:b w:val="0"/>
          <w:bCs w:val="0"/>
          <w:sz w:val="30"/>
          <w:szCs w:val="30"/>
          <w:lang w:eastAsia="zh-CN"/>
        </w:rPr>
        <w:fldChar w:fldCharType="separate"/>
      </w:r>
      <w:r>
        <w:rPr>
          <w:rFonts w:hint="eastAsia" w:ascii="楷体" w:hAnsi="楷体" w:eastAsia="楷体" w:cs="楷体"/>
          <w:b w:val="0"/>
          <w:bCs w:val="0"/>
          <w:sz w:val="30"/>
          <w:szCs w:val="30"/>
          <w:lang w:eastAsia="zh-CN"/>
        </w:rPr>
        <w:t>（五）一般公共预算当年拨款情况说明</w:t>
      </w:r>
      <w:r>
        <w:rPr>
          <w:rFonts w:hint="eastAsia" w:ascii="楷体" w:hAnsi="楷体" w:eastAsia="楷体" w:cs="楷体"/>
          <w:b w:val="0"/>
          <w:bCs w:val="0"/>
          <w:sz w:val="30"/>
          <w:szCs w:val="30"/>
          <w:lang w:eastAsia="zh-CN"/>
        </w:rPr>
        <w:fldChar w:fldCharType="end"/>
      </w:r>
      <w:r>
        <w:rPr>
          <w:rFonts w:hint="eastAsia" w:ascii="楷体" w:hAnsi="楷体" w:eastAsia="楷体" w:cs="楷体"/>
          <w:b w:val="0"/>
          <w:bCs w:val="0"/>
          <w:sz w:val="30"/>
          <w:szCs w:val="30"/>
          <w:lang w:eastAsia="zh-CN"/>
        </w:rPr>
        <w:tab/>
      </w:r>
      <w:r>
        <w:rPr>
          <w:rFonts w:hint="eastAsia" w:ascii="楷体" w:hAnsi="楷体" w:eastAsia="楷体" w:cs="楷体"/>
          <w:b w:val="0"/>
          <w:bCs w:val="0"/>
          <w:sz w:val="30"/>
          <w:szCs w:val="30"/>
          <w:lang w:val="en-US" w:eastAsia="zh-CN"/>
        </w:rPr>
        <w:t>4</w:t>
      </w:r>
    </w:p>
    <w:p>
      <w:pPr>
        <w:pStyle w:val="57"/>
        <w:tabs>
          <w:tab w:val="right" w:leader="dot" w:pos="8180"/>
        </w:tabs>
        <w:ind w:left="420"/>
        <w:rPr>
          <w:rFonts w:hint="default" w:ascii="楷体" w:hAnsi="楷体" w:eastAsia="楷体" w:cs="楷体"/>
          <w:b w:val="0"/>
          <w:bCs w:val="0"/>
          <w:sz w:val="30"/>
          <w:szCs w:val="30"/>
          <w:lang w:val="en-US" w:eastAsia="zh-CN"/>
        </w:rPr>
      </w:pPr>
      <w:r>
        <w:rPr>
          <w:rFonts w:hint="eastAsia" w:ascii="楷体" w:hAnsi="楷体" w:eastAsia="楷体" w:cs="楷体"/>
          <w:b w:val="0"/>
          <w:bCs w:val="0"/>
          <w:sz w:val="30"/>
          <w:szCs w:val="30"/>
          <w:lang w:eastAsia="zh-CN"/>
        </w:rPr>
        <w:fldChar w:fldCharType="begin"/>
      </w:r>
      <w:r>
        <w:rPr>
          <w:rFonts w:hint="eastAsia" w:ascii="楷体" w:hAnsi="楷体" w:eastAsia="楷体" w:cs="楷体"/>
          <w:b w:val="0"/>
          <w:bCs w:val="0"/>
          <w:sz w:val="30"/>
          <w:szCs w:val="30"/>
          <w:lang w:eastAsia="zh-CN"/>
        </w:rPr>
        <w:instrText xml:space="preserve"> HYPERLINK \l _Toc18285 </w:instrText>
      </w:r>
      <w:r>
        <w:rPr>
          <w:rFonts w:hint="eastAsia" w:ascii="楷体" w:hAnsi="楷体" w:eastAsia="楷体" w:cs="楷体"/>
          <w:b w:val="0"/>
          <w:bCs w:val="0"/>
          <w:sz w:val="30"/>
          <w:szCs w:val="30"/>
          <w:lang w:eastAsia="zh-CN"/>
        </w:rPr>
        <w:fldChar w:fldCharType="separate"/>
      </w:r>
      <w:r>
        <w:rPr>
          <w:rFonts w:hint="eastAsia" w:ascii="楷体" w:hAnsi="楷体" w:eastAsia="楷体" w:cs="楷体"/>
          <w:b w:val="0"/>
          <w:bCs w:val="0"/>
          <w:sz w:val="30"/>
          <w:szCs w:val="30"/>
          <w:lang w:eastAsia="zh-CN"/>
        </w:rPr>
        <w:t>（六）一般公共预算基本支出情况说明</w:t>
      </w:r>
      <w:r>
        <w:rPr>
          <w:rFonts w:hint="eastAsia" w:ascii="楷体" w:hAnsi="楷体" w:eastAsia="楷体" w:cs="楷体"/>
          <w:b w:val="0"/>
          <w:bCs w:val="0"/>
          <w:sz w:val="30"/>
          <w:szCs w:val="30"/>
          <w:lang w:eastAsia="zh-CN"/>
        </w:rPr>
        <w:fldChar w:fldCharType="end"/>
      </w:r>
      <w:r>
        <w:rPr>
          <w:rFonts w:hint="eastAsia" w:ascii="楷体" w:hAnsi="楷体" w:eastAsia="楷体" w:cs="楷体"/>
          <w:b w:val="0"/>
          <w:bCs w:val="0"/>
          <w:sz w:val="30"/>
          <w:szCs w:val="30"/>
          <w:lang w:eastAsia="zh-CN"/>
        </w:rPr>
        <w:tab/>
      </w:r>
      <w:r>
        <w:rPr>
          <w:rFonts w:hint="eastAsia" w:ascii="楷体" w:hAnsi="楷体" w:eastAsia="楷体" w:cs="楷体"/>
          <w:b w:val="0"/>
          <w:bCs w:val="0"/>
          <w:sz w:val="30"/>
          <w:szCs w:val="30"/>
          <w:lang w:val="en-US" w:eastAsia="zh-CN"/>
        </w:rPr>
        <w:t>5</w:t>
      </w:r>
    </w:p>
    <w:p>
      <w:pPr>
        <w:pStyle w:val="57"/>
        <w:tabs>
          <w:tab w:val="right" w:leader="dot" w:pos="8180"/>
        </w:tabs>
        <w:ind w:left="420"/>
        <w:rPr>
          <w:rFonts w:hint="default" w:ascii="楷体" w:hAnsi="楷体" w:eastAsia="楷体" w:cs="楷体"/>
          <w:b w:val="0"/>
          <w:bCs w:val="0"/>
          <w:sz w:val="30"/>
          <w:szCs w:val="30"/>
          <w:lang w:val="en-US" w:eastAsia="zh-CN"/>
        </w:rPr>
      </w:pPr>
      <w:r>
        <w:rPr>
          <w:rFonts w:hint="eastAsia" w:ascii="楷体" w:hAnsi="楷体" w:eastAsia="楷体" w:cs="楷体"/>
          <w:b w:val="0"/>
          <w:bCs w:val="0"/>
          <w:sz w:val="30"/>
          <w:szCs w:val="30"/>
          <w:lang w:eastAsia="zh-CN"/>
        </w:rPr>
        <w:fldChar w:fldCharType="begin"/>
      </w:r>
      <w:r>
        <w:rPr>
          <w:rFonts w:hint="eastAsia" w:ascii="楷体" w:hAnsi="楷体" w:eastAsia="楷体" w:cs="楷体"/>
          <w:b w:val="0"/>
          <w:bCs w:val="0"/>
          <w:sz w:val="30"/>
          <w:szCs w:val="30"/>
          <w:lang w:eastAsia="zh-CN"/>
        </w:rPr>
        <w:instrText xml:space="preserve"> HYPERLINK \l _Toc31278 </w:instrText>
      </w:r>
      <w:r>
        <w:rPr>
          <w:rFonts w:hint="eastAsia" w:ascii="楷体" w:hAnsi="楷体" w:eastAsia="楷体" w:cs="楷体"/>
          <w:b w:val="0"/>
          <w:bCs w:val="0"/>
          <w:sz w:val="30"/>
          <w:szCs w:val="30"/>
          <w:lang w:eastAsia="zh-CN"/>
        </w:rPr>
        <w:fldChar w:fldCharType="separate"/>
      </w:r>
      <w:r>
        <w:rPr>
          <w:rFonts w:hint="eastAsia" w:ascii="楷体" w:hAnsi="楷体" w:eastAsia="楷体" w:cs="楷体"/>
          <w:b w:val="0"/>
          <w:bCs w:val="0"/>
          <w:sz w:val="30"/>
          <w:szCs w:val="30"/>
          <w:lang w:eastAsia="zh-CN"/>
        </w:rPr>
        <w:t>（七）政府性基金预算支出情况说明</w:t>
      </w:r>
      <w:r>
        <w:rPr>
          <w:rFonts w:hint="eastAsia" w:ascii="楷体" w:hAnsi="楷体" w:eastAsia="楷体" w:cs="楷体"/>
          <w:b w:val="0"/>
          <w:bCs w:val="0"/>
          <w:sz w:val="30"/>
          <w:szCs w:val="30"/>
          <w:lang w:eastAsia="zh-CN"/>
        </w:rPr>
        <w:fldChar w:fldCharType="end"/>
      </w:r>
      <w:r>
        <w:rPr>
          <w:rFonts w:hint="eastAsia" w:ascii="楷体" w:hAnsi="楷体" w:eastAsia="楷体" w:cs="楷体"/>
          <w:b w:val="0"/>
          <w:bCs w:val="0"/>
          <w:sz w:val="30"/>
          <w:szCs w:val="30"/>
          <w:lang w:eastAsia="zh-CN"/>
        </w:rPr>
        <w:tab/>
      </w:r>
      <w:r>
        <w:rPr>
          <w:rFonts w:hint="eastAsia" w:ascii="楷体" w:hAnsi="楷体" w:eastAsia="楷体" w:cs="楷体"/>
          <w:b w:val="0"/>
          <w:bCs w:val="0"/>
          <w:sz w:val="30"/>
          <w:szCs w:val="30"/>
          <w:lang w:val="en-US" w:eastAsia="zh-CN"/>
        </w:rPr>
        <w:t>6</w:t>
      </w:r>
    </w:p>
    <w:p>
      <w:pPr>
        <w:pStyle w:val="57"/>
        <w:tabs>
          <w:tab w:val="right" w:leader="dot" w:pos="8180"/>
        </w:tabs>
        <w:ind w:left="420"/>
        <w:rPr>
          <w:rFonts w:hint="default" w:ascii="楷体" w:hAnsi="楷体" w:eastAsia="楷体" w:cs="楷体"/>
          <w:b w:val="0"/>
          <w:bCs w:val="0"/>
          <w:sz w:val="30"/>
          <w:szCs w:val="30"/>
          <w:lang w:val="en-US" w:eastAsia="zh-CN"/>
        </w:rPr>
      </w:pPr>
      <w:r>
        <w:rPr>
          <w:rFonts w:hint="eastAsia" w:ascii="楷体" w:hAnsi="楷体" w:eastAsia="楷体" w:cs="楷体"/>
          <w:b w:val="0"/>
          <w:bCs w:val="0"/>
          <w:sz w:val="30"/>
          <w:szCs w:val="30"/>
          <w:lang w:eastAsia="zh-CN"/>
        </w:rPr>
        <w:fldChar w:fldCharType="begin"/>
      </w:r>
      <w:r>
        <w:rPr>
          <w:rFonts w:hint="eastAsia" w:ascii="楷体" w:hAnsi="楷体" w:eastAsia="楷体" w:cs="楷体"/>
          <w:b w:val="0"/>
          <w:bCs w:val="0"/>
          <w:sz w:val="30"/>
          <w:szCs w:val="30"/>
          <w:lang w:eastAsia="zh-CN"/>
        </w:rPr>
        <w:instrText xml:space="preserve"> HYPERLINK \l _Toc9136 </w:instrText>
      </w:r>
      <w:r>
        <w:rPr>
          <w:rFonts w:hint="eastAsia" w:ascii="楷体" w:hAnsi="楷体" w:eastAsia="楷体" w:cs="楷体"/>
          <w:b w:val="0"/>
          <w:bCs w:val="0"/>
          <w:sz w:val="30"/>
          <w:szCs w:val="30"/>
          <w:lang w:eastAsia="zh-CN"/>
        </w:rPr>
        <w:fldChar w:fldCharType="separate"/>
      </w:r>
      <w:r>
        <w:rPr>
          <w:rFonts w:hint="eastAsia" w:ascii="楷体" w:hAnsi="楷体" w:eastAsia="楷体" w:cs="楷体"/>
          <w:b w:val="0"/>
          <w:bCs w:val="0"/>
          <w:sz w:val="30"/>
          <w:szCs w:val="30"/>
          <w:lang w:eastAsia="zh-CN"/>
        </w:rPr>
        <w:t>（八）国有资本经营预算支出情况说明</w:t>
      </w:r>
      <w:r>
        <w:rPr>
          <w:rFonts w:hint="eastAsia" w:ascii="楷体" w:hAnsi="楷体" w:eastAsia="楷体" w:cs="楷体"/>
          <w:b w:val="0"/>
          <w:bCs w:val="0"/>
          <w:sz w:val="30"/>
          <w:szCs w:val="30"/>
          <w:lang w:eastAsia="zh-CN"/>
        </w:rPr>
        <w:fldChar w:fldCharType="end"/>
      </w:r>
      <w:r>
        <w:rPr>
          <w:rFonts w:hint="eastAsia" w:ascii="楷体" w:hAnsi="楷体" w:eastAsia="楷体" w:cs="楷体"/>
          <w:b w:val="0"/>
          <w:bCs w:val="0"/>
          <w:sz w:val="30"/>
          <w:szCs w:val="30"/>
          <w:lang w:eastAsia="zh-CN"/>
        </w:rPr>
        <w:tab/>
      </w:r>
      <w:r>
        <w:rPr>
          <w:rFonts w:hint="eastAsia" w:ascii="楷体" w:hAnsi="楷体" w:eastAsia="楷体" w:cs="楷体"/>
          <w:b w:val="0"/>
          <w:bCs w:val="0"/>
          <w:sz w:val="30"/>
          <w:szCs w:val="30"/>
          <w:lang w:val="en-US" w:eastAsia="zh-CN"/>
        </w:rPr>
        <w:t>6</w:t>
      </w:r>
    </w:p>
    <w:p>
      <w:pPr>
        <w:pStyle w:val="57"/>
        <w:tabs>
          <w:tab w:val="right" w:leader="dot" w:pos="8180"/>
        </w:tabs>
        <w:ind w:left="420"/>
        <w:rPr>
          <w:rFonts w:hint="default" w:ascii="楷体" w:hAnsi="楷体" w:eastAsia="楷体" w:cs="楷体"/>
          <w:b w:val="0"/>
          <w:bCs w:val="0"/>
          <w:sz w:val="30"/>
          <w:szCs w:val="30"/>
          <w:lang w:val="en-US" w:eastAsia="zh-CN"/>
        </w:rPr>
      </w:pPr>
      <w:r>
        <w:rPr>
          <w:rFonts w:hint="eastAsia" w:ascii="楷体" w:hAnsi="楷体" w:eastAsia="楷体" w:cs="楷体"/>
          <w:b w:val="0"/>
          <w:bCs w:val="0"/>
          <w:sz w:val="30"/>
          <w:szCs w:val="30"/>
          <w:lang w:eastAsia="zh-CN"/>
        </w:rPr>
        <w:fldChar w:fldCharType="begin"/>
      </w:r>
      <w:r>
        <w:rPr>
          <w:rFonts w:hint="eastAsia" w:ascii="楷体" w:hAnsi="楷体" w:eastAsia="楷体" w:cs="楷体"/>
          <w:b w:val="0"/>
          <w:bCs w:val="0"/>
          <w:sz w:val="30"/>
          <w:szCs w:val="30"/>
          <w:lang w:eastAsia="zh-CN"/>
        </w:rPr>
        <w:instrText xml:space="preserve"> HYPERLINK \l _Toc31177 </w:instrText>
      </w:r>
      <w:r>
        <w:rPr>
          <w:rFonts w:hint="eastAsia" w:ascii="楷体" w:hAnsi="楷体" w:eastAsia="楷体" w:cs="楷体"/>
          <w:b w:val="0"/>
          <w:bCs w:val="0"/>
          <w:sz w:val="30"/>
          <w:szCs w:val="30"/>
          <w:lang w:eastAsia="zh-CN"/>
        </w:rPr>
        <w:fldChar w:fldCharType="separate"/>
      </w:r>
      <w:r>
        <w:rPr>
          <w:rFonts w:hint="eastAsia" w:ascii="楷体" w:hAnsi="楷体" w:eastAsia="楷体" w:cs="楷体"/>
          <w:b w:val="0"/>
          <w:bCs w:val="0"/>
          <w:sz w:val="30"/>
          <w:szCs w:val="30"/>
          <w:lang w:eastAsia="zh-CN"/>
        </w:rPr>
        <w:t>（九）一般公共预算“三公”经费预算情况说明</w:t>
      </w:r>
      <w:r>
        <w:rPr>
          <w:rFonts w:hint="eastAsia" w:ascii="楷体" w:hAnsi="楷体" w:eastAsia="楷体" w:cs="楷体"/>
          <w:b w:val="0"/>
          <w:bCs w:val="0"/>
          <w:sz w:val="30"/>
          <w:szCs w:val="30"/>
          <w:lang w:eastAsia="zh-CN"/>
        </w:rPr>
        <w:fldChar w:fldCharType="end"/>
      </w:r>
      <w:r>
        <w:rPr>
          <w:rFonts w:hint="eastAsia" w:ascii="楷体" w:hAnsi="楷体" w:eastAsia="楷体" w:cs="楷体"/>
          <w:b w:val="0"/>
          <w:bCs w:val="0"/>
          <w:sz w:val="30"/>
          <w:szCs w:val="30"/>
          <w:lang w:eastAsia="zh-CN"/>
        </w:rPr>
        <w:tab/>
      </w:r>
      <w:r>
        <w:rPr>
          <w:rFonts w:hint="eastAsia" w:ascii="楷体" w:hAnsi="楷体" w:eastAsia="楷体" w:cs="楷体"/>
          <w:b w:val="0"/>
          <w:bCs w:val="0"/>
          <w:sz w:val="30"/>
          <w:szCs w:val="30"/>
          <w:lang w:val="en-US" w:eastAsia="zh-CN"/>
        </w:rPr>
        <w:t>6</w:t>
      </w:r>
    </w:p>
    <w:p>
      <w:pPr>
        <w:pStyle w:val="57"/>
        <w:tabs>
          <w:tab w:val="right" w:leader="dot" w:pos="8180"/>
        </w:tabs>
        <w:ind w:left="420"/>
        <w:rPr>
          <w:rFonts w:hint="default" w:ascii="楷体" w:hAnsi="楷体" w:eastAsia="楷体" w:cs="楷体"/>
          <w:b w:val="0"/>
          <w:bCs w:val="0"/>
          <w:sz w:val="30"/>
          <w:szCs w:val="30"/>
          <w:lang w:val="en-US" w:eastAsia="zh-CN"/>
        </w:rPr>
      </w:pPr>
      <w:r>
        <w:rPr>
          <w:rFonts w:hint="eastAsia" w:ascii="楷体" w:hAnsi="楷体" w:eastAsia="楷体" w:cs="楷体"/>
          <w:b w:val="0"/>
          <w:bCs w:val="0"/>
          <w:sz w:val="30"/>
          <w:szCs w:val="30"/>
          <w:lang w:eastAsia="zh-CN"/>
        </w:rPr>
        <w:fldChar w:fldCharType="begin"/>
      </w:r>
      <w:r>
        <w:rPr>
          <w:rFonts w:hint="eastAsia" w:ascii="楷体" w:hAnsi="楷体" w:eastAsia="楷体" w:cs="楷体"/>
          <w:b w:val="0"/>
          <w:bCs w:val="0"/>
          <w:sz w:val="30"/>
          <w:szCs w:val="30"/>
          <w:lang w:eastAsia="zh-CN"/>
        </w:rPr>
        <w:instrText xml:space="preserve"> HYPERLINK \l _Toc30671 </w:instrText>
      </w:r>
      <w:r>
        <w:rPr>
          <w:rFonts w:hint="eastAsia" w:ascii="楷体" w:hAnsi="楷体" w:eastAsia="楷体" w:cs="楷体"/>
          <w:b w:val="0"/>
          <w:bCs w:val="0"/>
          <w:sz w:val="30"/>
          <w:szCs w:val="30"/>
          <w:lang w:eastAsia="zh-CN"/>
        </w:rPr>
        <w:fldChar w:fldCharType="separate"/>
      </w:r>
      <w:r>
        <w:rPr>
          <w:rFonts w:hint="eastAsia" w:ascii="楷体" w:hAnsi="楷体" w:eastAsia="楷体" w:cs="楷体"/>
          <w:b w:val="0"/>
          <w:bCs w:val="0"/>
          <w:sz w:val="30"/>
          <w:szCs w:val="30"/>
          <w:lang w:eastAsia="zh-CN"/>
        </w:rPr>
        <w:t>（十）其他重要事项的情况说明</w:t>
      </w:r>
      <w:r>
        <w:rPr>
          <w:rFonts w:hint="eastAsia" w:ascii="楷体" w:hAnsi="楷体" w:eastAsia="楷体" w:cs="楷体"/>
          <w:b w:val="0"/>
          <w:bCs w:val="0"/>
          <w:sz w:val="30"/>
          <w:szCs w:val="30"/>
          <w:lang w:eastAsia="zh-CN"/>
        </w:rPr>
        <w:fldChar w:fldCharType="end"/>
      </w:r>
      <w:r>
        <w:rPr>
          <w:rFonts w:hint="eastAsia" w:ascii="楷体" w:hAnsi="楷体" w:eastAsia="楷体" w:cs="楷体"/>
          <w:b w:val="0"/>
          <w:bCs w:val="0"/>
          <w:sz w:val="30"/>
          <w:szCs w:val="30"/>
          <w:lang w:eastAsia="zh-CN"/>
        </w:rPr>
        <w:tab/>
      </w:r>
      <w:r>
        <w:rPr>
          <w:rFonts w:hint="eastAsia" w:ascii="楷体" w:hAnsi="楷体" w:eastAsia="楷体" w:cs="楷体"/>
          <w:b w:val="0"/>
          <w:bCs w:val="0"/>
          <w:sz w:val="30"/>
          <w:szCs w:val="30"/>
          <w:lang w:val="en-US" w:eastAsia="zh-CN"/>
        </w:rPr>
        <w:t>7</w:t>
      </w:r>
    </w:p>
    <w:p>
      <w:pPr>
        <w:pStyle w:val="10"/>
        <w:tabs>
          <w:tab w:val="right" w:leader="dot" w:pos="8180"/>
        </w:tabs>
        <w:jc w:val="left"/>
        <w:rPr>
          <w:rStyle w:val="16"/>
          <w:rFonts w:hint="eastAsia" w:ascii="黑体" w:hAnsi="黑体" w:eastAsia="黑体" w:cs="黑体"/>
          <w:b w:val="0"/>
          <w:bCs w:val="0"/>
          <w:color w:val="000000"/>
          <w:sz w:val="32"/>
          <w:szCs w:val="32"/>
          <w:lang w:val="en-US" w:eastAsia="zh-CN" w:bidi="ar-SA"/>
        </w:rPr>
      </w:pPr>
      <w:r>
        <w:rPr>
          <w:rStyle w:val="16"/>
          <w:rFonts w:hint="eastAsia" w:ascii="黑体" w:hAnsi="黑体" w:eastAsia="黑体" w:cs="黑体"/>
          <w:b w:val="0"/>
          <w:bCs w:val="0"/>
          <w:color w:val="000000"/>
          <w:sz w:val="32"/>
          <w:szCs w:val="32"/>
          <w:lang w:val="en-US" w:eastAsia="zh-CN" w:bidi="ar-SA"/>
        </w:rPr>
        <w:fldChar w:fldCharType="begin"/>
      </w:r>
      <w:r>
        <w:rPr>
          <w:rStyle w:val="16"/>
          <w:rFonts w:hint="eastAsia" w:ascii="黑体" w:hAnsi="黑体" w:eastAsia="黑体" w:cs="黑体"/>
          <w:b w:val="0"/>
          <w:bCs w:val="0"/>
          <w:color w:val="000000"/>
          <w:sz w:val="32"/>
          <w:szCs w:val="32"/>
          <w:lang w:val="en-US" w:eastAsia="zh-CN" w:bidi="ar-SA"/>
        </w:rPr>
        <w:instrText xml:space="preserve"> HYPERLINK \l _Toc3807 </w:instrText>
      </w:r>
      <w:r>
        <w:rPr>
          <w:rStyle w:val="16"/>
          <w:rFonts w:hint="eastAsia" w:ascii="黑体" w:hAnsi="黑体" w:eastAsia="黑体" w:cs="黑体"/>
          <w:b w:val="0"/>
          <w:bCs w:val="0"/>
          <w:color w:val="000000"/>
          <w:sz w:val="32"/>
          <w:szCs w:val="32"/>
          <w:lang w:val="en-US" w:eastAsia="zh-CN" w:bidi="ar-SA"/>
        </w:rPr>
        <w:fldChar w:fldCharType="separate"/>
      </w:r>
      <w:r>
        <w:rPr>
          <w:rStyle w:val="16"/>
          <w:rFonts w:hint="eastAsia" w:ascii="黑体" w:hAnsi="黑体" w:eastAsia="黑体" w:cs="黑体"/>
          <w:b w:val="0"/>
          <w:bCs w:val="0"/>
          <w:color w:val="000000"/>
          <w:sz w:val="32"/>
          <w:szCs w:val="32"/>
          <w:lang w:val="en-US" w:eastAsia="zh-CN" w:bidi="ar-SA"/>
        </w:rPr>
        <w:t>三、名词解释</w:t>
      </w:r>
      <w:r>
        <w:rPr>
          <w:rStyle w:val="16"/>
          <w:rFonts w:hint="eastAsia" w:ascii="黑体" w:hAnsi="黑体" w:eastAsia="黑体" w:cs="黑体"/>
          <w:b w:val="0"/>
          <w:bCs w:val="0"/>
          <w:color w:val="000000"/>
          <w:sz w:val="32"/>
          <w:szCs w:val="32"/>
          <w:lang w:val="en-US" w:eastAsia="zh-CN" w:bidi="ar-SA"/>
        </w:rPr>
        <w:tab/>
      </w:r>
      <w:r>
        <w:rPr>
          <w:rFonts w:hint="eastAsia" w:ascii="黑体" w:hAnsi="黑体" w:eastAsia="黑体" w:cs="黑体"/>
          <w:b w:val="0"/>
          <w:bCs w:val="0"/>
          <w:sz w:val="32"/>
          <w:szCs w:val="32"/>
          <w:lang w:val="en-US" w:eastAsia="zh-CN"/>
        </w:rPr>
        <w:t>8</w:t>
      </w:r>
      <w:r>
        <w:rPr>
          <w:rStyle w:val="16"/>
          <w:rFonts w:hint="eastAsia" w:ascii="黑体" w:hAnsi="黑体" w:eastAsia="黑体" w:cs="黑体"/>
          <w:b w:val="0"/>
          <w:bCs w:val="0"/>
          <w:color w:val="000000"/>
          <w:sz w:val="32"/>
          <w:szCs w:val="32"/>
          <w:lang w:val="en-US" w:eastAsia="zh-CN" w:bidi="ar-SA"/>
        </w:rPr>
        <w:fldChar w:fldCharType="end"/>
      </w:r>
    </w:p>
    <w:p>
      <w:pPr>
        <w:pStyle w:val="10"/>
        <w:keepNext w:val="0"/>
        <w:keepLines w:val="0"/>
        <w:pageBreakBefore w:val="0"/>
        <w:widowControl w:val="0"/>
        <w:tabs>
          <w:tab w:val="right" w:leader="dot" w:pos="8180"/>
        </w:tabs>
        <w:kinsoku/>
        <w:wordWrap/>
        <w:overflowPunct/>
        <w:topLinePunct w:val="0"/>
        <w:autoSpaceDE/>
        <w:autoSpaceDN w:val="0"/>
        <w:bidi w:val="0"/>
        <w:adjustRightInd/>
        <w:snapToGrid/>
        <w:jc w:val="left"/>
        <w:textAlignment w:val="auto"/>
        <w:rPr>
          <w:rStyle w:val="16"/>
          <w:rFonts w:hint="eastAsia" w:ascii="黑体" w:hAnsi="黑体" w:eastAsia="黑体" w:cs="黑体"/>
          <w:b w:val="0"/>
          <w:bCs w:val="0"/>
          <w:color w:val="000000"/>
          <w:sz w:val="32"/>
          <w:szCs w:val="32"/>
          <w:lang w:val="en-US" w:eastAsia="zh-CN" w:bidi="ar-SA"/>
        </w:rPr>
      </w:pPr>
      <w:r>
        <w:rPr>
          <w:rStyle w:val="16"/>
          <w:rFonts w:hint="eastAsia" w:ascii="黑体" w:hAnsi="黑体" w:eastAsia="黑体" w:cs="黑体"/>
          <w:b w:val="0"/>
          <w:bCs w:val="0"/>
          <w:color w:val="000000"/>
          <w:sz w:val="32"/>
          <w:szCs w:val="32"/>
          <w:lang w:val="en-US" w:eastAsia="zh-CN" w:bidi="ar-SA"/>
        </w:rPr>
        <w:fldChar w:fldCharType="begin"/>
      </w:r>
      <w:r>
        <w:rPr>
          <w:rStyle w:val="16"/>
          <w:rFonts w:hint="eastAsia" w:ascii="黑体" w:hAnsi="黑体" w:eastAsia="黑体" w:cs="黑体"/>
          <w:b w:val="0"/>
          <w:bCs w:val="0"/>
          <w:color w:val="000000"/>
          <w:sz w:val="32"/>
          <w:szCs w:val="32"/>
          <w:lang w:val="en-US" w:eastAsia="zh-CN" w:bidi="ar-SA"/>
        </w:rPr>
        <w:instrText xml:space="preserve"> HYPERLINK \l _Toc12518 </w:instrText>
      </w:r>
      <w:r>
        <w:rPr>
          <w:rStyle w:val="16"/>
          <w:rFonts w:hint="eastAsia" w:ascii="黑体" w:hAnsi="黑体" w:eastAsia="黑体" w:cs="黑体"/>
          <w:b w:val="0"/>
          <w:bCs w:val="0"/>
          <w:color w:val="000000"/>
          <w:sz w:val="32"/>
          <w:szCs w:val="32"/>
          <w:lang w:val="en-US" w:eastAsia="zh-CN" w:bidi="ar-SA"/>
        </w:rPr>
        <w:fldChar w:fldCharType="separate"/>
      </w:r>
      <w:r>
        <w:rPr>
          <w:rStyle w:val="16"/>
          <w:rFonts w:hint="eastAsia" w:ascii="黑体" w:hAnsi="黑体" w:eastAsia="黑体" w:cs="黑体"/>
          <w:b w:val="0"/>
          <w:bCs w:val="0"/>
          <w:color w:val="000000"/>
          <w:sz w:val="32"/>
          <w:szCs w:val="32"/>
          <w:lang w:val="en-US" w:eastAsia="zh-CN" w:bidi="ar-SA"/>
        </w:rPr>
        <w:t>四、</w:t>
      </w:r>
      <w:r>
        <w:rPr>
          <w:rStyle w:val="16"/>
          <w:rFonts w:ascii="黑体" w:hAnsi="黑体" w:eastAsia="黑体" w:cs="黑体"/>
          <w:color w:val="000000"/>
          <w:sz w:val="32"/>
        </w:rPr>
        <w:t>2023年单位预算公开表</w:t>
      </w:r>
      <w:r>
        <w:rPr>
          <w:rStyle w:val="16"/>
          <w:rFonts w:hint="eastAsia" w:ascii="黑体" w:hAnsi="黑体" w:eastAsia="黑体" w:cs="黑体"/>
          <w:b w:val="0"/>
          <w:bCs w:val="0"/>
          <w:color w:val="000000"/>
          <w:sz w:val="32"/>
          <w:szCs w:val="32"/>
          <w:lang w:val="en-US" w:eastAsia="zh-CN" w:bidi="ar-SA"/>
        </w:rPr>
        <w:tab/>
      </w:r>
      <w:r>
        <w:rPr>
          <w:rFonts w:hint="eastAsia" w:ascii="黑体" w:hAnsi="黑体" w:eastAsia="黑体" w:cs="黑体"/>
          <w:b w:val="0"/>
          <w:bCs w:val="0"/>
          <w:sz w:val="32"/>
          <w:szCs w:val="32"/>
          <w:lang w:val="en-US" w:eastAsia="zh-CN"/>
        </w:rPr>
        <w:t>11</w:t>
      </w:r>
      <w:r>
        <w:rPr>
          <w:rStyle w:val="16"/>
          <w:rFonts w:hint="eastAsia" w:ascii="黑体" w:hAnsi="黑体" w:eastAsia="黑体" w:cs="黑体"/>
          <w:b w:val="0"/>
          <w:bCs w:val="0"/>
          <w:color w:val="000000"/>
          <w:sz w:val="32"/>
          <w:szCs w:val="32"/>
          <w:lang w:val="en-US" w:eastAsia="zh-CN" w:bidi="ar-SA"/>
        </w:rPr>
        <w:fldChar w:fldCharType="end"/>
      </w:r>
    </w:p>
    <w:p>
      <w:pPr>
        <w:pStyle w:val="57"/>
        <w:tabs>
          <w:tab w:val="right" w:leader="dot" w:pos="8180"/>
        </w:tabs>
        <w:ind w:left="420"/>
        <w:rPr>
          <w:rStyle w:val="16"/>
          <w:rFonts w:hint="eastAsia" w:ascii="楷体" w:hAnsi="楷体" w:eastAsia="楷体" w:cs="楷体"/>
          <w:b w:val="0"/>
          <w:bCs w:val="0"/>
          <w:sz w:val="30"/>
          <w:szCs w:val="30"/>
          <w:lang w:val="en-US" w:eastAsia="zh-CN"/>
        </w:rPr>
      </w:pPr>
      <w:r>
        <w:rPr>
          <w:rStyle w:val="60"/>
          <w:rFonts w:hint="eastAsia" w:ascii="楷体" w:hAnsi="楷体" w:eastAsia="楷体" w:cs="楷体"/>
          <w:sz w:val="30"/>
          <w:szCs w:val="30"/>
          <w:lang w:eastAsia="zh-CN"/>
        </w:rPr>
        <w:t>（一）</w:t>
      </w:r>
      <w:r>
        <w:rPr>
          <w:rStyle w:val="16"/>
          <w:rFonts w:hint="eastAsia" w:ascii="楷体" w:hAnsi="楷体" w:eastAsia="楷体" w:cs="楷体"/>
          <w:b w:val="0"/>
          <w:bCs w:val="0"/>
          <w:sz w:val="30"/>
          <w:szCs w:val="30"/>
          <w:lang w:val="en-US" w:eastAsia="zh-CN"/>
        </w:rPr>
        <w:fldChar w:fldCharType="begin"/>
      </w:r>
      <w:r>
        <w:rPr>
          <w:rStyle w:val="16"/>
          <w:rFonts w:hint="eastAsia" w:ascii="楷体" w:hAnsi="楷体" w:eastAsia="楷体" w:cs="楷体"/>
          <w:b w:val="0"/>
          <w:bCs w:val="0"/>
          <w:sz w:val="30"/>
          <w:szCs w:val="30"/>
          <w:lang w:val="en-US" w:eastAsia="zh-CN"/>
        </w:rPr>
        <w:instrText xml:space="preserve"> HYPERLINK \l _Toc3544 </w:instrText>
      </w:r>
      <w:r>
        <w:rPr>
          <w:rStyle w:val="16"/>
          <w:rFonts w:hint="eastAsia" w:ascii="楷体" w:hAnsi="楷体" w:eastAsia="楷体" w:cs="楷体"/>
          <w:b w:val="0"/>
          <w:bCs w:val="0"/>
          <w:sz w:val="30"/>
          <w:szCs w:val="30"/>
          <w:lang w:val="en-US" w:eastAsia="zh-CN"/>
        </w:rPr>
        <w:fldChar w:fldCharType="separate"/>
      </w:r>
      <w:r>
        <w:rPr>
          <w:rStyle w:val="60"/>
          <w:rFonts w:hint="eastAsia" w:ascii="楷体" w:hAnsi="楷体" w:eastAsia="楷体" w:cs="楷体"/>
          <w:sz w:val="30"/>
          <w:szCs w:val="30"/>
          <w:lang w:val="en-US" w:eastAsia="zh-CN"/>
        </w:rPr>
        <w:t>单位</w:t>
      </w:r>
      <w:r>
        <w:rPr>
          <w:rStyle w:val="60"/>
          <w:rFonts w:ascii="楷体" w:hAnsi="楷体" w:eastAsia="楷体" w:cs="楷体"/>
          <w:sz w:val="30"/>
        </w:rPr>
        <w:t>收支预算总表</w:t>
      </w:r>
      <w:r>
        <w:rPr>
          <w:rStyle w:val="16"/>
          <w:rFonts w:hint="eastAsia" w:ascii="楷体" w:hAnsi="楷体" w:eastAsia="楷体" w:cs="楷体"/>
          <w:b w:val="0"/>
          <w:bCs w:val="0"/>
          <w:sz w:val="30"/>
          <w:szCs w:val="30"/>
          <w:lang w:val="en-US" w:eastAsia="zh-CN"/>
        </w:rPr>
        <w:tab/>
      </w:r>
      <w:r>
        <w:rPr>
          <w:rStyle w:val="59"/>
          <w:rFonts w:hint="eastAsia" w:ascii="楷体" w:hAnsi="楷体" w:eastAsia="楷体" w:cs="楷体"/>
          <w:b w:val="0"/>
          <w:bCs w:val="0"/>
          <w:sz w:val="30"/>
          <w:szCs w:val="30"/>
          <w:lang w:val="en-US" w:eastAsia="zh-CN"/>
        </w:rPr>
        <w:t>11</w:t>
      </w:r>
      <w:r>
        <w:rPr>
          <w:rStyle w:val="16"/>
          <w:rFonts w:hint="eastAsia" w:ascii="楷体" w:hAnsi="楷体" w:eastAsia="楷体" w:cs="楷体"/>
          <w:b w:val="0"/>
          <w:bCs w:val="0"/>
          <w:sz w:val="30"/>
          <w:szCs w:val="30"/>
          <w:lang w:val="en-US" w:eastAsia="zh-CN"/>
        </w:rPr>
        <w:fldChar w:fldCharType="end"/>
      </w:r>
    </w:p>
    <w:p>
      <w:pPr>
        <w:pStyle w:val="57"/>
        <w:tabs>
          <w:tab w:val="right" w:leader="dot" w:pos="8180"/>
        </w:tabs>
        <w:ind w:left="420"/>
        <w:rPr>
          <w:rStyle w:val="59"/>
          <w:rFonts w:hint="eastAsia" w:ascii="楷体" w:hAnsi="楷体" w:eastAsia="楷体" w:cs="楷体"/>
          <w:b w:val="0"/>
          <w:bCs w:val="0"/>
          <w:sz w:val="30"/>
          <w:szCs w:val="30"/>
          <w:lang w:val="en-US" w:eastAsia="zh-CN"/>
        </w:rPr>
      </w:pPr>
      <w:r>
        <w:rPr>
          <w:rStyle w:val="60"/>
          <w:rFonts w:hint="eastAsia" w:ascii="楷体" w:hAnsi="楷体" w:eastAsia="楷体" w:cs="楷体"/>
          <w:sz w:val="30"/>
          <w:szCs w:val="30"/>
          <w:lang w:eastAsia="zh-CN"/>
        </w:rPr>
        <w:t>（</w:t>
      </w:r>
      <w:r>
        <w:rPr>
          <w:rStyle w:val="60"/>
          <w:rFonts w:hint="eastAsia" w:ascii="楷体" w:hAnsi="楷体" w:eastAsia="楷体" w:cs="楷体"/>
          <w:sz w:val="30"/>
          <w:szCs w:val="30"/>
          <w:lang w:val="en-US" w:eastAsia="zh-CN"/>
        </w:rPr>
        <w:t>二）</w:t>
      </w:r>
      <w:r>
        <w:rPr>
          <w:rStyle w:val="16"/>
          <w:rFonts w:hint="eastAsia" w:ascii="楷体" w:hAnsi="楷体" w:eastAsia="楷体" w:cs="楷体"/>
          <w:b w:val="0"/>
          <w:bCs w:val="0"/>
          <w:sz w:val="30"/>
          <w:szCs w:val="30"/>
          <w:lang w:val="en-US" w:eastAsia="zh-CN"/>
        </w:rPr>
        <w:fldChar w:fldCharType="begin"/>
      </w:r>
      <w:r>
        <w:rPr>
          <w:rStyle w:val="16"/>
          <w:rFonts w:hint="eastAsia" w:ascii="楷体" w:hAnsi="楷体" w:eastAsia="楷体" w:cs="楷体"/>
          <w:b w:val="0"/>
          <w:bCs w:val="0"/>
          <w:sz w:val="30"/>
          <w:szCs w:val="30"/>
          <w:lang w:val="en-US" w:eastAsia="zh-CN"/>
        </w:rPr>
        <w:instrText xml:space="preserve"> HYPERLINK \l _Toc28635 </w:instrText>
      </w:r>
      <w:r>
        <w:rPr>
          <w:rStyle w:val="16"/>
          <w:rFonts w:hint="eastAsia" w:ascii="楷体" w:hAnsi="楷体" w:eastAsia="楷体" w:cs="楷体"/>
          <w:b w:val="0"/>
          <w:bCs w:val="0"/>
          <w:sz w:val="30"/>
          <w:szCs w:val="30"/>
          <w:lang w:val="en-US" w:eastAsia="zh-CN"/>
        </w:rPr>
        <w:fldChar w:fldCharType="separate"/>
      </w:r>
      <w:r>
        <w:rPr>
          <w:rStyle w:val="60"/>
          <w:rFonts w:hint="eastAsia" w:ascii="楷体" w:hAnsi="楷体" w:eastAsia="楷体" w:cs="楷体"/>
          <w:sz w:val="30"/>
          <w:szCs w:val="30"/>
          <w:lang w:val="en-US" w:eastAsia="zh-CN"/>
        </w:rPr>
        <w:t>单位</w:t>
      </w:r>
      <w:r>
        <w:rPr>
          <w:rStyle w:val="60"/>
          <w:rFonts w:ascii="楷体" w:hAnsi="楷体" w:eastAsia="楷体" w:cs="楷体"/>
          <w:sz w:val="30"/>
        </w:rPr>
        <w:t>收入预算总表</w:t>
      </w:r>
      <w:r>
        <w:rPr>
          <w:rStyle w:val="16"/>
          <w:rFonts w:hint="eastAsia" w:ascii="楷体" w:hAnsi="楷体" w:eastAsia="楷体" w:cs="楷体"/>
          <w:b w:val="0"/>
          <w:bCs w:val="0"/>
          <w:sz w:val="30"/>
          <w:szCs w:val="30"/>
          <w:lang w:val="en-US" w:eastAsia="zh-CN"/>
        </w:rPr>
        <w:tab/>
      </w:r>
      <w:r>
        <w:rPr>
          <w:rStyle w:val="59"/>
          <w:rFonts w:hint="eastAsia" w:ascii="楷体" w:hAnsi="楷体" w:eastAsia="楷体" w:cs="楷体"/>
          <w:b w:val="0"/>
          <w:bCs w:val="0"/>
          <w:sz w:val="30"/>
          <w:szCs w:val="30"/>
          <w:lang w:val="en-US" w:eastAsia="zh-CN"/>
        </w:rPr>
        <w:t>12</w:t>
      </w:r>
      <w:r>
        <w:rPr>
          <w:rStyle w:val="16"/>
          <w:rFonts w:hint="eastAsia" w:ascii="楷体" w:hAnsi="楷体" w:eastAsia="楷体" w:cs="楷体"/>
          <w:b w:val="0"/>
          <w:bCs w:val="0"/>
          <w:sz w:val="30"/>
          <w:szCs w:val="30"/>
          <w:lang w:val="en-US" w:eastAsia="zh-CN"/>
        </w:rPr>
        <w:fldChar w:fldCharType="end"/>
      </w:r>
    </w:p>
    <w:p>
      <w:pPr>
        <w:pStyle w:val="57"/>
        <w:tabs>
          <w:tab w:val="right" w:leader="dot" w:pos="8180"/>
        </w:tabs>
        <w:ind w:left="420"/>
        <w:rPr>
          <w:rStyle w:val="16"/>
          <w:rFonts w:hint="eastAsia" w:ascii="楷体" w:hAnsi="楷体" w:eastAsia="楷体" w:cs="楷体"/>
          <w:b w:val="0"/>
          <w:bCs w:val="0"/>
          <w:sz w:val="30"/>
          <w:szCs w:val="30"/>
          <w:lang w:val="en-US" w:eastAsia="zh-CN"/>
        </w:rPr>
      </w:pPr>
      <w:r>
        <w:rPr>
          <w:rStyle w:val="60"/>
          <w:rFonts w:hint="eastAsia" w:ascii="楷体" w:hAnsi="楷体" w:eastAsia="楷体" w:cs="楷体"/>
          <w:sz w:val="30"/>
          <w:szCs w:val="30"/>
          <w:lang w:eastAsia="zh-CN"/>
        </w:rPr>
        <w:t>（</w:t>
      </w:r>
      <w:r>
        <w:rPr>
          <w:rStyle w:val="60"/>
          <w:rFonts w:hint="eastAsia" w:ascii="楷体" w:hAnsi="楷体" w:eastAsia="楷体" w:cs="楷体"/>
          <w:sz w:val="30"/>
          <w:szCs w:val="30"/>
          <w:lang w:val="en-US" w:eastAsia="zh-CN"/>
        </w:rPr>
        <w:t>三</w:t>
      </w:r>
      <w:r>
        <w:rPr>
          <w:rStyle w:val="60"/>
          <w:rFonts w:hint="eastAsia" w:ascii="楷体" w:hAnsi="楷体" w:eastAsia="楷体" w:cs="楷体"/>
          <w:sz w:val="30"/>
          <w:szCs w:val="30"/>
          <w:lang w:eastAsia="zh-CN"/>
        </w:rPr>
        <w:t>）</w:t>
      </w:r>
      <w:r>
        <w:rPr>
          <w:rStyle w:val="16"/>
          <w:rFonts w:hint="eastAsia" w:ascii="楷体" w:hAnsi="楷体" w:eastAsia="楷体" w:cs="楷体"/>
          <w:b w:val="0"/>
          <w:bCs w:val="0"/>
          <w:sz w:val="30"/>
          <w:szCs w:val="30"/>
          <w:lang w:val="en-US" w:eastAsia="zh-CN"/>
        </w:rPr>
        <w:fldChar w:fldCharType="begin"/>
      </w:r>
      <w:r>
        <w:rPr>
          <w:rStyle w:val="16"/>
          <w:rFonts w:hint="eastAsia" w:ascii="楷体" w:hAnsi="楷体" w:eastAsia="楷体" w:cs="楷体"/>
          <w:b w:val="0"/>
          <w:bCs w:val="0"/>
          <w:sz w:val="30"/>
          <w:szCs w:val="30"/>
          <w:lang w:val="en-US" w:eastAsia="zh-CN"/>
        </w:rPr>
        <w:instrText xml:space="preserve"> HYPERLINK \l _Toc22904 </w:instrText>
      </w:r>
      <w:r>
        <w:rPr>
          <w:rStyle w:val="16"/>
          <w:rFonts w:hint="eastAsia" w:ascii="楷体" w:hAnsi="楷体" w:eastAsia="楷体" w:cs="楷体"/>
          <w:b w:val="0"/>
          <w:bCs w:val="0"/>
          <w:sz w:val="30"/>
          <w:szCs w:val="30"/>
          <w:lang w:val="en-US" w:eastAsia="zh-CN"/>
        </w:rPr>
        <w:fldChar w:fldCharType="separate"/>
      </w:r>
      <w:r>
        <w:rPr>
          <w:rStyle w:val="60"/>
          <w:rFonts w:hint="eastAsia" w:ascii="楷体" w:hAnsi="楷体" w:eastAsia="楷体" w:cs="楷体"/>
          <w:sz w:val="30"/>
          <w:szCs w:val="30"/>
          <w:lang w:val="en-US" w:eastAsia="zh-CN"/>
        </w:rPr>
        <w:t>单位</w:t>
      </w:r>
      <w:r>
        <w:rPr>
          <w:rStyle w:val="60"/>
          <w:rFonts w:ascii="楷体" w:hAnsi="楷体" w:eastAsia="楷体" w:cs="楷体"/>
          <w:sz w:val="30"/>
        </w:rPr>
        <w:t>支出预算总表</w:t>
      </w:r>
      <w:r>
        <w:rPr>
          <w:rStyle w:val="16"/>
          <w:rFonts w:hint="eastAsia" w:ascii="楷体" w:hAnsi="楷体" w:eastAsia="楷体" w:cs="楷体"/>
          <w:b w:val="0"/>
          <w:bCs w:val="0"/>
          <w:sz w:val="30"/>
          <w:szCs w:val="30"/>
          <w:lang w:val="en-US" w:eastAsia="zh-CN"/>
        </w:rPr>
        <w:tab/>
      </w:r>
      <w:r>
        <w:rPr>
          <w:rStyle w:val="59"/>
          <w:rFonts w:hint="eastAsia" w:ascii="楷体" w:hAnsi="楷体" w:eastAsia="楷体" w:cs="楷体"/>
          <w:b w:val="0"/>
          <w:bCs w:val="0"/>
          <w:sz w:val="30"/>
          <w:szCs w:val="30"/>
          <w:lang w:val="en-US" w:eastAsia="zh-CN"/>
        </w:rPr>
        <w:t>13</w:t>
      </w:r>
      <w:r>
        <w:rPr>
          <w:rStyle w:val="16"/>
          <w:rFonts w:hint="eastAsia" w:ascii="楷体" w:hAnsi="楷体" w:eastAsia="楷体" w:cs="楷体"/>
          <w:b w:val="0"/>
          <w:bCs w:val="0"/>
          <w:sz w:val="30"/>
          <w:szCs w:val="30"/>
          <w:lang w:val="en-US" w:eastAsia="zh-CN"/>
        </w:rPr>
        <w:fldChar w:fldCharType="end"/>
      </w:r>
    </w:p>
    <w:p>
      <w:pPr>
        <w:pStyle w:val="57"/>
        <w:tabs>
          <w:tab w:val="right" w:leader="dot" w:pos="8180"/>
        </w:tabs>
        <w:ind w:left="420"/>
        <w:rPr>
          <w:rStyle w:val="16"/>
          <w:rFonts w:hint="eastAsia" w:ascii="楷体" w:hAnsi="楷体" w:eastAsia="楷体" w:cs="楷体"/>
          <w:b w:val="0"/>
          <w:bCs w:val="0"/>
          <w:sz w:val="30"/>
          <w:szCs w:val="30"/>
          <w:lang w:val="en-US" w:eastAsia="zh-CN"/>
        </w:rPr>
      </w:pPr>
      <w:r>
        <w:rPr>
          <w:rStyle w:val="60"/>
          <w:rFonts w:hint="eastAsia" w:ascii="楷体" w:hAnsi="楷体" w:eastAsia="楷体" w:cs="楷体"/>
          <w:sz w:val="30"/>
          <w:szCs w:val="30"/>
          <w:lang w:eastAsia="zh-CN"/>
        </w:rPr>
        <w:t>（</w:t>
      </w:r>
      <w:r>
        <w:rPr>
          <w:rStyle w:val="60"/>
          <w:rFonts w:hint="eastAsia" w:ascii="楷体" w:hAnsi="楷体" w:eastAsia="楷体" w:cs="楷体"/>
          <w:sz w:val="30"/>
          <w:szCs w:val="30"/>
          <w:lang w:val="en-US" w:eastAsia="zh-CN"/>
        </w:rPr>
        <w:t>四</w:t>
      </w:r>
      <w:r>
        <w:rPr>
          <w:rStyle w:val="60"/>
          <w:rFonts w:hint="eastAsia" w:ascii="楷体" w:hAnsi="楷体" w:eastAsia="楷体" w:cs="楷体"/>
          <w:sz w:val="30"/>
          <w:szCs w:val="30"/>
          <w:lang w:eastAsia="zh-CN"/>
        </w:rPr>
        <w:t>）</w:t>
      </w:r>
      <w:r>
        <w:rPr>
          <w:rStyle w:val="16"/>
          <w:rFonts w:hint="eastAsia" w:ascii="楷体" w:hAnsi="楷体" w:eastAsia="楷体" w:cs="楷体"/>
          <w:b w:val="0"/>
          <w:bCs w:val="0"/>
          <w:sz w:val="30"/>
          <w:szCs w:val="30"/>
          <w:lang w:val="en-US" w:eastAsia="zh-CN"/>
        </w:rPr>
        <w:fldChar w:fldCharType="begin"/>
      </w:r>
      <w:r>
        <w:rPr>
          <w:rStyle w:val="16"/>
          <w:rFonts w:hint="eastAsia" w:ascii="楷体" w:hAnsi="楷体" w:eastAsia="楷体" w:cs="楷体"/>
          <w:b w:val="0"/>
          <w:bCs w:val="0"/>
          <w:sz w:val="30"/>
          <w:szCs w:val="30"/>
          <w:lang w:val="en-US" w:eastAsia="zh-CN"/>
        </w:rPr>
        <w:instrText xml:space="preserve"> HYPERLINK \l _Toc16162 </w:instrText>
      </w:r>
      <w:r>
        <w:rPr>
          <w:rStyle w:val="16"/>
          <w:rFonts w:hint="eastAsia" w:ascii="楷体" w:hAnsi="楷体" w:eastAsia="楷体" w:cs="楷体"/>
          <w:b w:val="0"/>
          <w:bCs w:val="0"/>
          <w:sz w:val="30"/>
          <w:szCs w:val="30"/>
          <w:lang w:val="en-US" w:eastAsia="zh-CN"/>
        </w:rPr>
        <w:fldChar w:fldCharType="separate"/>
      </w:r>
      <w:r>
        <w:rPr>
          <w:rStyle w:val="60"/>
          <w:rFonts w:hint="eastAsia" w:ascii="楷体" w:hAnsi="楷体" w:eastAsia="楷体" w:cs="楷体"/>
          <w:sz w:val="30"/>
          <w:szCs w:val="30"/>
          <w:lang w:val="en-US" w:eastAsia="zh-CN"/>
        </w:rPr>
        <w:t>单位</w:t>
      </w:r>
      <w:r>
        <w:rPr>
          <w:rStyle w:val="60"/>
          <w:rFonts w:ascii="楷体" w:hAnsi="楷体" w:eastAsia="楷体" w:cs="楷体"/>
          <w:sz w:val="30"/>
        </w:rPr>
        <w:t>财政拨款收支预算总表</w:t>
      </w:r>
      <w:r>
        <w:rPr>
          <w:rStyle w:val="16"/>
          <w:rFonts w:hint="eastAsia" w:ascii="楷体" w:hAnsi="楷体" w:eastAsia="楷体" w:cs="楷体"/>
          <w:b w:val="0"/>
          <w:bCs w:val="0"/>
          <w:sz w:val="30"/>
          <w:szCs w:val="30"/>
          <w:lang w:val="en-US" w:eastAsia="zh-CN"/>
        </w:rPr>
        <w:tab/>
      </w:r>
      <w:r>
        <w:rPr>
          <w:rStyle w:val="59"/>
          <w:rFonts w:hint="eastAsia" w:ascii="楷体" w:hAnsi="楷体" w:eastAsia="楷体" w:cs="楷体"/>
          <w:b w:val="0"/>
          <w:bCs w:val="0"/>
          <w:sz w:val="30"/>
          <w:szCs w:val="30"/>
          <w:lang w:val="en-US" w:eastAsia="zh-CN"/>
        </w:rPr>
        <w:t>14</w:t>
      </w:r>
      <w:r>
        <w:rPr>
          <w:rStyle w:val="16"/>
          <w:rFonts w:hint="eastAsia" w:ascii="楷体" w:hAnsi="楷体" w:eastAsia="楷体" w:cs="楷体"/>
          <w:b w:val="0"/>
          <w:bCs w:val="0"/>
          <w:sz w:val="30"/>
          <w:szCs w:val="30"/>
          <w:lang w:val="en-US" w:eastAsia="zh-CN"/>
        </w:rPr>
        <w:fldChar w:fldCharType="end"/>
      </w:r>
    </w:p>
    <w:p>
      <w:pPr>
        <w:pStyle w:val="57"/>
        <w:tabs>
          <w:tab w:val="right" w:leader="dot" w:pos="8180"/>
        </w:tabs>
        <w:ind w:left="420"/>
        <w:rPr>
          <w:rStyle w:val="16"/>
          <w:rFonts w:hint="eastAsia" w:ascii="楷体" w:hAnsi="楷体" w:eastAsia="楷体" w:cs="楷体"/>
          <w:b w:val="0"/>
          <w:bCs w:val="0"/>
          <w:sz w:val="30"/>
          <w:szCs w:val="30"/>
          <w:lang w:val="en-US" w:eastAsia="zh-CN"/>
        </w:rPr>
      </w:pPr>
      <w:r>
        <w:rPr>
          <w:rStyle w:val="60"/>
          <w:rFonts w:hint="eastAsia" w:ascii="楷体" w:hAnsi="楷体" w:eastAsia="楷体" w:cs="楷体"/>
          <w:sz w:val="30"/>
          <w:szCs w:val="30"/>
          <w:lang w:eastAsia="zh-CN"/>
        </w:rPr>
        <w:t>（</w:t>
      </w:r>
      <w:r>
        <w:rPr>
          <w:rStyle w:val="60"/>
          <w:rFonts w:hint="eastAsia" w:ascii="楷体" w:hAnsi="楷体" w:eastAsia="楷体" w:cs="楷体"/>
          <w:sz w:val="30"/>
          <w:szCs w:val="30"/>
          <w:lang w:val="en-US" w:eastAsia="zh-CN"/>
        </w:rPr>
        <w:t>五</w:t>
      </w:r>
      <w:r>
        <w:rPr>
          <w:rStyle w:val="60"/>
          <w:rFonts w:hint="eastAsia" w:ascii="楷体" w:hAnsi="楷体" w:eastAsia="楷体" w:cs="楷体"/>
          <w:sz w:val="30"/>
          <w:szCs w:val="30"/>
          <w:lang w:eastAsia="zh-CN"/>
        </w:rPr>
        <w:t>）</w:t>
      </w:r>
      <w:r>
        <w:rPr>
          <w:rStyle w:val="16"/>
          <w:rFonts w:hint="eastAsia" w:ascii="楷体" w:hAnsi="楷体" w:eastAsia="楷体" w:cs="楷体"/>
          <w:b w:val="0"/>
          <w:bCs w:val="0"/>
          <w:sz w:val="30"/>
          <w:szCs w:val="30"/>
          <w:lang w:val="en-US" w:eastAsia="zh-CN"/>
        </w:rPr>
        <w:fldChar w:fldCharType="begin"/>
      </w:r>
      <w:r>
        <w:rPr>
          <w:rStyle w:val="16"/>
          <w:rFonts w:hint="eastAsia" w:ascii="楷体" w:hAnsi="楷体" w:eastAsia="楷体" w:cs="楷体"/>
          <w:b w:val="0"/>
          <w:bCs w:val="0"/>
          <w:sz w:val="30"/>
          <w:szCs w:val="30"/>
          <w:lang w:val="en-US" w:eastAsia="zh-CN"/>
        </w:rPr>
        <w:instrText xml:space="preserve"> HYPERLINK \l _Toc29270 </w:instrText>
      </w:r>
      <w:r>
        <w:rPr>
          <w:rStyle w:val="16"/>
          <w:rFonts w:hint="eastAsia" w:ascii="楷体" w:hAnsi="楷体" w:eastAsia="楷体" w:cs="楷体"/>
          <w:b w:val="0"/>
          <w:bCs w:val="0"/>
          <w:sz w:val="30"/>
          <w:szCs w:val="30"/>
          <w:lang w:val="en-US" w:eastAsia="zh-CN"/>
        </w:rPr>
        <w:fldChar w:fldCharType="separate"/>
      </w:r>
      <w:r>
        <w:rPr>
          <w:rStyle w:val="60"/>
          <w:rFonts w:hint="eastAsia" w:ascii="楷体" w:hAnsi="楷体" w:eastAsia="楷体" w:cs="楷体"/>
          <w:sz w:val="30"/>
          <w:szCs w:val="30"/>
          <w:lang w:val="en-US" w:eastAsia="zh-CN"/>
        </w:rPr>
        <w:t>单位</w:t>
      </w:r>
      <w:r>
        <w:rPr>
          <w:rStyle w:val="60"/>
          <w:rFonts w:ascii="楷体" w:hAnsi="楷体" w:eastAsia="楷体" w:cs="楷体"/>
          <w:sz w:val="30"/>
        </w:rPr>
        <w:t>一般公共预算支出表</w:t>
      </w:r>
      <w:r>
        <w:rPr>
          <w:rStyle w:val="16"/>
          <w:rFonts w:hint="eastAsia" w:ascii="楷体" w:hAnsi="楷体" w:eastAsia="楷体" w:cs="楷体"/>
          <w:b w:val="0"/>
          <w:bCs w:val="0"/>
          <w:sz w:val="30"/>
          <w:szCs w:val="30"/>
          <w:lang w:val="en-US" w:eastAsia="zh-CN"/>
        </w:rPr>
        <w:tab/>
      </w:r>
      <w:r>
        <w:rPr>
          <w:rStyle w:val="59"/>
          <w:rFonts w:hint="eastAsia" w:ascii="楷体" w:hAnsi="楷体" w:eastAsia="楷体" w:cs="楷体"/>
          <w:b w:val="0"/>
          <w:bCs w:val="0"/>
          <w:sz w:val="30"/>
          <w:szCs w:val="30"/>
          <w:lang w:val="en-US" w:eastAsia="zh-CN"/>
        </w:rPr>
        <w:t>15</w:t>
      </w:r>
      <w:r>
        <w:rPr>
          <w:rStyle w:val="16"/>
          <w:rFonts w:hint="eastAsia" w:ascii="楷体" w:hAnsi="楷体" w:eastAsia="楷体" w:cs="楷体"/>
          <w:b w:val="0"/>
          <w:bCs w:val="0"/>
          <w:sz w:val="30"/>
          <w:szCs w:val="30"/>
          <w:lang w:val="en-US" w:eastAsia="zh-CN"/>
        </w:rPr>
        <w:fldChar w:fldCharType="end"/>
      </w:r>
    </w:p>
    <w:p>
      <w:pPr>
        <w:pStyle w:val="57"/>
        <w:tabs>
          <w:tab w:val="right" w:leader="dot" w:pos="8180"/>
        </w:tabs>
        <w:ind w:left="420"/>
        <w:rPr>
          <w:rStyle w:val="16"/>
          <w:rFonts w:hint="eastAsia" w:ascii="楷体" w:hAnsi="楷体" w:eastAsia="楷体" w:cs="楷体"/>
          <w:b w:val="0"/>
          <w:bCs w:val="0"/>
          <w:sz w:val="30"/>
          <w:szCs w:val="30"/>
          <w:lang w:val="en-US" w:eastAsia="zh-CN"/>
        </w:rPr>
      </w:pPr>
      <w:r>
        <w:rPr>
          <w:rStyle w:val="60"/>
          <w:rFonts w:hint="eastAsia" w:ascii="楷体" w:hAnsi="楷体" w:eastAsia="楷体" w:cs="楷体"/>
          <w:sz w:val="30"/>
          <w:szCs w:val="30"/>
          <w:lang w:eastAsia="zh-CN"/>
        </w:rPr>
        <w:t>（</w:t>
      </w:r>
      <w:r>
        <w:rPr>
          <w:rStyle w:val="60"/>
          <w:rFonts w:hint="eastAsia" w:ascii="楷体" w:hAnsi="楷体" w:eastAsia="楷体" w:cs="楷体"/>
          <w:sz w:val="30"/>
          <w:szCs w:val="30"/>
          <w:lang w:val="en-US" w:eastAsia="zh-CN"/>
        </w:rPr>
        <w:t>六</w:t>
      </w:r>
      <w:r>
        <w:rPr>
          <w:rStyle w:val="60"/>
          <w:rFonts w:hint="eastAsia" w:ascii="楷体" w:hAnsi="楷体" w:eastAsia="楷体" w:cs="楷体"/>
          <w:sz w:val="30"/>
          <w:szCs w:val="30"/>
          <w:lang w:eastAsia="zh-CN"/>
        </w:rPr>
        <w:t>）</w:t>
      </w:r>
      <w:r>
        <w:rPr>
          <w:rStyle w:val="16"/>
          <w:rFonts w:hint="eastAsia" w:ascii="楷体" w:hAnsi="楷体" w:eastAsia="楷体" w:cs="楷体"/>
          <w:b w:val="0"/>
          <w:bCs w:val="0"/>
          <w:sz w:val="30"/>
          <w:szCs w:val="30"/>
          <w:lang w:val="en-US" w:eastAsia="zh-CN"/>
        </w:rPr>
        <w:fldChar w:fldCharType="begin"/>
      </w:r>
      <w:r>
        <w:rPr>
          <w:rStyle w:val="16"/>
          <w:rFonts w:hint="eastAsia" w:ascii="楷体" w:hAnsi="楷体" w:eastAsia="楷体" w:cs="楷体"/>
          <w:b w:val="0"/>
          <w:bCs w:val="0"/>
          <w:sz w:val="30"/>
          <w:szCs w:val="30"/>
          <w:lang w:val="en-US" w:eastAsia="zh-CN"/>
        </w:rPr>
        <w:instrText xml:space="preserve"> HYPERLINK \l _Toc2322 </w:instrText>
      </w:r>
      <w:r>
        <w:rPr>
          <w:rStyle w:val="16"/>
          <w:rFonts w:hint="eastAsia" w:ascii="楷体" w:hAnsi="楷体" w:eastAsia="楷体" w:cs="楷体"/>
          <w:b w:val="0"/>
          <w:bCs w:val="0"/>
          <w:sz w:val="30"/>
          <w:szCs w:val="30"/>
          <w:lang w:val="en-US" w:eastAsia="zh-CN"/>
        </w:rPr>
        <w:fldChar w:fldCharType="separate"/>
      </w:r>
      <w:r>
        <w:rPr>
          <w:rStyle w:val="60"/>
          <w:rFonts w:hint="eastAsia" w:ascii="楷体" w:hAnsi="楷体" w:eastAsia="楷体" w:cs="楷体"/>
          <w:sz w:val="30"/>
          <w:szCs w:val="30"/>
          <w:lang w:val="en-US" w:eastAsia="zh-CN"/>
        </w:rPr>
        <w:t>单位</w:t>
      </w:r>
      <w:r>
        <w:rPr>
          <w:rStyle w:val="60"/>
          <w:rFonts w:ascii="楷体" w:hAnsi="楷体" w:eastAsia="楷体" w:cs="楷体"/>
          <w:sz w:val="30"/>
        </w:rPr>
        <w:t>一般公共预算基本支出表</w:t>
      </w:r>
      <w:r>
        <w:rPr>
          <w:rStyle w:val="16"/>
          <w:rFonts w:hint="eastAsia" w:ascii="楷体" w:hAnsi="楷体" w:eastAsia="楷体" w:cs="楷体"/>
          <w:b w:val="0"/>
          <w:bCs w:val="0"/>
          <w:sz w:val="30"/>
          <w:szCs w:val="30"/>
          <w:lang w:val="en-US" w:eastAsia="zh-CN"/>
        </w:rPr>
        <w:tab/>
      </w:r>
      <w:r>
        <w:rPr>
          <w:rStyle w:val="59"/>
          <w:rFonts w:hint="eastAsia" w:ascii="楷体" w:hAnsi="楷体" w:eastAsia="楷体" w:cs="楷体"/>
          <w:b w:val="0"/>
          <w:bCs w:val="0"/>
          <w:sz w:val="30"/>
          <w:szCs w:val="30"/>
          <w:lang w:val="en-US" w:eastAsia="zh-CN"/>
        </w:rPr>
        <w:t>16</w:t>
      </w:r>
      <w:r>
        <w:rPr>
          <w:rStyle w:val="16"/>
          <w:rFonts w:hint="eastAsia" w:ascii="楷体" w:hAnsi="楷体" w:eastAsia="楷体" w:cs="楷体"/>
          <w:b w:val="0"/>
          <w:bCs w:val="0"/>
          <w:sz w:val="30"/>
          <w:szCs w:val="30"/>
          <w:lang w:val="en-US" w:eastAsia="zh-CN"/>
        </w:rPr>
        <w:fldChar w:fldCharType="end"/>
      </w:r>
    </w:p>
    <w:p>
      <w:pPr>
        <w:pStyle w:val="57"/>
        <w:tabs>
          <w:tab w:val="right" w:leader="dot" w:pos="8180"/>
        </w:tabs>
        <w:ind w:left="420"/>
        <w:rPr>
          <w:rStyle w:val="16"/>
          <w:rFonts w:hint="eastAsia" w:ascii="楷体" w:hAnsi="楷体" w:eastAsia="楷体" w:cs="楷体"/>
          <w:b w:val="0"/>
          <w:bCs w:val="0"/>
          <w:sz w:val="30"/>
          <w:szCs w:val="30"/>
          <w:lang w:val="en-US" w:eastAsia="zh-CN"/>
        </w:rPr>
      </w:pPr>
      <w:r>
        <w:rPr>
          <w:rStyle w:val="60"/>
          <w:rFonts w:hint="eastAsia" w:ascii="楷体" w:hAnsi="楷体" w:eastAsia="楷体" w:cs="楷体"/>
          <w:sz w:val="30"/>
          <w:szCs w:val="30"/>
          <w:lang w:eastAsia="zh-CN"/>
        </w:rPr>
        <w:t>（</w:t>
      </w:r>
      <w:r>
        <w:rPr>
          <w:rStyle w:val="60"/>
          <w:rFonts w:hint="eastAsia" w:ascii="楷体" w:hAnsi="楷体" w:eastAsia="楷体" w:cs="楷体"/>
          <w:sz w:val="30"/>
          <w:szCs w:val="30"/>
          <w:lang w:val="en-US" w:eastAsia="zh-CN"/>
        </w:rPr>
        <w:t>七</w:t>
      </w:r>
      <w:r>
        <w:rPr>
          <w:rStyle w:val="60"/>
          <w:rFonts w:hint="eastAsia" w:ascii="楷体" w:hAnsi="楷体" w:eastAsia="楷体" w:cs="楷体"/>
          <w:sz w:val="30"/>
          <w:szCs w:val="30"/>
          <w:lang w:eastAsia="zh-CN"/>
        </w:rPr>
        <w:t>）</w:t>
      </w:r>
      <w:r>
        <w:rPr>
          <w:rStyle w:val="16"/>
          <w:rFonts w:hint="eastAsia" w:ascii="楷体" w:hAnsi="楷体" w:eastAsia="楷体" w:cs="楷体"/>
          <w:b w:val="0"/>
          <w:bCs w:val="0"/>
          <w:sz w:val="30"/>
          <w:szCs w:val="30"/>
          <w:lang w:val="en-US" w:eastAsia="zh-CN"/>
        </w:rPr>
        <w:fldChar w:fldCharType="begin"/>
      </w:r>
      <w:r>
        <w:rPr>
          <w:rStyle w:val="16"/>
          <w:rFonts w:hint="eastAsia" w:ascii="楷体" w:hAnsi="楷体" w:eastAsia="楷体" w:cs="楷体"/>
          <w:b w:val="0"/>
          <w:bCs w:val="0"/>
          <w:sz w:val="30"/>
          <w:szCs w:val="30"/>
          <w:lang w:val="en-US" w:eastAsia="zh-CN"/>
        </w:rPr>
        <w:instrText xml:space="preserve"> HYPERLINK \l _Toc23813 </w:instrText>
      </w:r>
      <w:r>
        <w:rPr>
          <w:rStyle w:val="16"/>
          <w:rFonts w:hint="eastAsia" w:ascii="楷体" w:hAnsi="楷体" w:eastAsia="楷体" w:cs="楷体"/>
          <w:b w:val="0"/>
          <w:bCs w:val="0"/>
          <w:sz w:val="30"/>
          <w:szCs w:val="30"/>
          <w:lang w:val="en-US" w:eastAsia="zh-CN"/>
        </w:rPr>
        <w:fldChar w:fldCharType="separate"/>
      </w:r>
      <w:r>
        <w:rPr>
          <w:rStyle w:val="60"/>
          <w:rFonts w:hint="eastAsia" w:ascii="楷体" w:hAnsi="楷体" w:eastAsia="楷体" w:cs="楷体"/>
          <w:sz w:val="30"/>
          <w:szCs w:val="30"/>
          <w:lang w:val="en-US" w:eastAsia="zh-CN"/>
        </w:rPr>
        <w:t>单位</w:t>
      </w:r>
      <w:r>
        <w:rPr>
          <w:rStyle w:val="60"/>
          <w:rFonts w:ascii="楷体" w:hAnsi="楷体" w:eastAsia="楷体" w:cs="楷体"/>
          <w:sz w:val="30"/>
        </w:rPr>
        <w:t>一般公共预算"三公"经费支出表</w:t>
      </w:r>
      <w:r>
        <w:rPr>
          <w:rStyle w:val="16"/>
          <w:rFonts w:hint="eastAsia" w:ascii="楷体" w:hAnsi="楷体" w:eastAsia="楷体" w:cs="楷体"/>
          <w:b w:val="0"/>
          <w:bCs w:val="0"/>
          <w:sz w:val="30"/>
          <w:szCs w:val="30"/>
          <w:lang w:val="en-US" w:eastAsia="zh-CN"/>
        </w:rPr>
        <w:tab/>
      </w:r>
      <w:r>
        <w:rPr>
          <w:rStyle w:val="59"/>
          <w:rFonts w:hint="eastAsia" w:ascii="楷体" w:hAnsi="楷体" w:eastAsia="楷体" w:cs="楷体"/>
          <w:b w:val="0"/>
          <w:bCs w:val="0"/>
          <w:sz w:val="30"/>
          <w:szCs w:val="30"/>
          <w:lang w:val="en-US" w:eastAsia="zh-CN"/>
        </w:rPr>
        <w:t>17</w:t>
      </w:r>
      <w:r>
        <w:rPr>
          <w:rStyle w:val="16"/>
          <w:rFonts w:hint="eastAsia" w:ascii="楷体" w:hAnsi="楷体" w:eastAsia="楷体" w:cs="楷体"/>
          <w:b w:val="0"/>
          <w:bCs w:val="0"/>
          <w:sz w:val="30"/>
          <w:szCs w:val="30"/>
          <w:lang w:val="en-US" w:eastAsia="zh-CN"/>
        </w:rPr>
        <w:fldChar w:fldCharType="end"/>
      </w:r>
    </w:p>
    <w:p>
      <w:pPr>
        <w:pStyle w:val="57"/>
        <w:tabs>
          <w:tab w:val="right" w:leader="dot" w:pos="8180"/>
        </w:tabs>
        <w:ind w:left="420"/>
        <w:rPr>
          <w:rStyle w:val="16"/>
          <w:rFonts w:hint="eastAsia" w:ascii="楷体" w:hAnsi="楷体" w:eastAsia="楷体" w:cs="楷体"/>
          <w:b w:val="0"/>
          <w:bCs w:val="0"/>
          <w:sz w:val="30"/>
          <w:szCs w:val="30"/>
          <w:lang w:val="en-US" w:eastAsia="zh-CN"/>
        </w:rPr>
      </w:pPr>
      <w:r>
        <w:rPr>
          <w:rStyle w:val="60"/>
          <w:rFonts w:hint="eastAsia" w:ascii="楷体" w:hAnsi="楷体" w:eastAsia="楷体" w:cs="楷体"/>
          <w:sz w:val="30"/>
          <w:szCs w:val="30"/>
          <w:lang w:eastAsia="zh-CN"/>
        </w:rPr>
        <w:t>（</w:t>
      </w:r>
      <w:r>
        <w:rPr>
          <w:rStyle w:val="60"/>
          <w:rFonts w:hint="eastAsia" w:ascii="楷体" w:hAnsi="楷体" w:eastAsia="楷体" w:cs="楷体"/>
          <w:sz w:val="30"/>
          <w:szCs w:val="30"/>
          <w:lang w:val="en-US" w:eastAsia="zh-CN"/>
        </w:rPr>
        <w:t>八</w:t>
      </w:r>
      <w:r>
        <w:rPr>
          <w:rStyle w:val="60"/>
          <w:rFonts w:hint="eastAsia" w:ascii="楷体" w:hAnsi="楷体" w:eastAsia="楷体" w:cs="楷体"/>
          <w:sz w:val="30"/>
          <w:szCs w:val="30"/>
          <w:lang w:eastAsia="zh-CN"/>
        </w:rPr>
        <w:t>）</w:t>
      </w:r>
      <w:r>
        <w:rPr>
          <w:rStyle w:val="16"/>
          <w:rFonts w:hint="eastAsia" w:ascii="楷体" w:hAnsi="楷体" w:eastAsia="楷体" w:cs="楷体"/>
          <w:b w:val="0"/>
          <w:bCs w:val="0"/>
          <w:sz w:val="30"/>
          <w:szCs w:val="30"/>
          <w:lang w:val="en-US" w:eastAsia="zh-CN"/>
        </w:rPr>
        <w:fldChar w:fldCharType="begin"/>
      </w:r>
      <w:r>
        <w:rPr>
          <w:rStyle w:val="16"/>
          <w:rFonts w:hint="eastAsia" w:ascii="楷体" w:hAnsi="楷体" w:eastAsia="楷体" w:cs="楷体"/>
          <w:b w:val="0"/>
          <w:bCs w:val="0"/>
          <w:sz w:val="30"/>
          <w:szCs w:val="30"/>
          <w:lang w:val="en-US" w:eastAsia="zh-CN"/>
        </w:rPr>
        <w:instrText xml:space="preserve"> HYPERLINK \l _Toc23849 </w:instrText>
      </w:r>
      <w:r>
        <w:rPr>
          <w:rStyle w:val="16"/>
          <w:rFonts w:hint="eastAsia" w:ascii="楷体" w:hAnsi="楷体" w:eastAsia="楷体" w:cs="楷体"/>
          <w:b w:val="0"/>
          <w:bCs w:val="0"/>
          <w:sz w:val="30"/>
          <w:szCs w:val="30"/>
          <w:lang w:val="en-US" w:eastAsia="zh-CN"/>
        </w:rPr>
        <w:fldChar w:fldCharType="separate"/>
      </w:r>
      <w:r>
        <w:rPr>
          <w:rStyle w:val="60"/>
          <w:rFonts w:hint="eastAsia" w:ascii="楷体" w:hAnsi="楷体" w:eastAsia="楷体" w:cs="楷体"/>
          <w:sz w:val="30"/>
          <w:szCs w:val="30"/>
          <w:lang w:val="en-US" w:eastAsia="zh-CN"/>
        </w:rPr>
        <w:t>单位</w:t>
      </w:r>
      <w:r>
        <w:rPr>
          <w:rStyle w:val="60"/>
          <w:rFonts w:ascii="楷体" w:hAnsi="楷体" w:eastAsia="楷体" w:cs="楷体"/>
          <w:sz w:val="30"/>
        </w:rPr>
        <w:t>政府性基金预算支出表</w:t>
      </w:r>
      <w:r>
        <w:rPr>
          <w:rStyle w:val="16"/>
          <w:rFonts w:hint="eastAsia" w:ascii="楷体" w:hAnsi="楷体" w:eastAsia="楷体" w:cs="楷体"/>
          <w:b w:val="0"/>
          <w:bCs w:val="0"/>
          <w:sz w:val="30"/>
          <w:szCs w:val="30"/>
          <w:lang w:val="en-US" w:eastAsia="zh-CN"/>
        </w:rPr>
        <w:tab/>
      </w:r>
      <w:r>
        <w:rPr>
          <w:rStyle w:val="59"/>
          <w:rFonts w:hint="eastAsia" w:ascii="楷体" w:hAnsi="楷体" w:eastAsia="楷体" w:cs="楷体"/>
          <w:b w:val="0"/>
          <w:bCs w:val="0"/>
          <w:sz w:val="30"/>
          <w:szCs w:val="30"/>
          <w:lang w:val="en-US" w:eastAsia="zh-CN"/>
        </w:rPr>
        <w:t>18</w:t>
      </w:r>
      <w:r>
        <w:rPr>
          <w:rStyle w:val="16"/>
          <w:rFonts w:hint="eastAsia" w:ascii="楷体" w:hAnsi="楷体" w:eastAsia="楷体" w:cs="楷体"/>
          <w:b w:val="0"/>
          <w:bCs w:val="0"/>
          <w:sz w:val="30"/>
          <w:szCs w:val="30"/>
          <w:lang w:val="en-US" w:eastAsia="zh-CN"/>
        </w:rPr>
        <w:fldChar w:fldCharType="end"/>
      </w:r>
    </w:p>
    <w:p>
      <w:pPr>
        <w:pStyle w:val="57"/>
        <w:tabs>
          <w:tab w:val="right" w:leader="dot" w:pos="8180"/>
        </w:tabs>
        <w:ind w:left="420"/>
        <w:rPr>
          <w:rStyle w:val="16"/>
          <w:rFonts w:hint="eastAsia" w:ascii="楷体" w:hAnsi="楷体" w:eastAsia="楷体" w:cs="楷体"/>
          <w:b w:val="0"/>
          <w:bCs w:val="0"/>
          <w:sz w:val="30"/>
          <w:szCs w:val="30"/>
          <w:lang w:val="en-US" w:eastAsia="zh-CN"/>
        </w:rPr>
      </w:pPr>
      <w:r>
        <w:rPr>
          <w:rStyle w:val="60"/>
          <w:rFonts w:hint="eastAsia" w:ascii="楷体" w:hAnsi="楷体" w:eastAsia="楷体" w:cs="楷体"/>
          <w:sz w:val="30"/>
          <w:szCs w:val="30"/>
          <w:lang w:eastAsia="zh-CN"/>
        </w:rPr>
        <w:t>（</w:t>
      </w:r>
      <w:r>
        <w:rPr>
          <w:rStyle w:val="60"/>
          <w:rFonts w:hint="eastAsia" w:ascii="楷体" w:hAnsi="楷体" w:eastAsia="楷体" w:cs="楷体"/>
          <w:sz w:val="30"/>
          <w:szCs w:val="30"/>
          <w:lang w:val="en-US" w:eastAsia="zh-CN"/>
        </w:rPr>
        <w:t>九</w:t>
      </w:r>
      <w:r>
        <w:rPr>
          <w:rStyle w:val="60"/>
          <w:rFonts w:hint="eastAsia" w:ascii="楷体" w:hAnsi="楷体" w:eastAsia="楷体" w:cs="楷体"/>
          <w:sz w:val="30"/>
          <w:szCs w:val="30"/>
          <w:lang w:eastAsia="zh-CN"/>
        </w:rPr>
        <w:t>）</w:t>
      </w:r>
      <w:r>
        <w:rPr>
          <w:rStyle w:val="16"/>
          <w:rFonts w:hint="eastAsia" w:ascii="楷体" w:hAnsi="楷体" w:eastAsia="楷体" w:cs="楷体"/>
          <w:b w:val="0"/>
          <w:bCs w:val="0"/>
          <w:sz w:val="30"/>
          <w:szCs w:val="30"/>
          <w:lang w:val="en-US" w:eastAsia="zh-CN"/>
        </w:rPr>
        <w:fldChar w:fldCharType="begin"/>
      </w:r>
      <w:r>
        <w:rPr>
          <w:rStyle w:val="16"/>
          <w:rFonts w:hint="eastAsia" w:ascii="楷体" w:hAnsi="楷体" w:eastAsia="楷体" w:cs="楷体"/>
          <w:b w:val="0"/>
          <w:bCs w:val="0"/>
          <w:sz w:val="30"/>
          <w:szCs w:val="30"/>
          <w:lang w:val="en-US" w:eastAsia="zh-CN"/>
        </w:rPr>
        <w:instrText xml:space="preserve"> HYPERLINK \l _Toc23415 </w:instrText>
      </w:r>
      <w:r>
        <w:rPr>
          <w:rStyle w:val="16"/>
          <w:rFonts w:hint="eastAsia" w:ascii="楷体" w:hAnsi="楷体" w:eastAsia="楷体" w:cs="楷体"/>
          <w:b w:val="0"/>
          <w:bCs w:val="0"/>
          <w:sz w:val="30"/>
          <w:szCs w:val="30"/>
          <w:lang w:val="en-US" w:eastAsia="zh-CN"/>
        </w:rPr>
        <w:fldChar w:fldCharType="separate"/>
      </w:r>
      <w:r>
        <w:rPr>
          <w:rStyle w:val="60"/>
          <w:rFonts w:hint="eastAsia" w:ascii="楷体" w:hAnsi="楷体" w:eastAsia="楷体" w:cs="楷体"/>
          <w:sz w:val="30"/>
          <w:szCs w:val="30"/>
          <w:lang w:val="en-US" w:eastAsia="zh-CN"/>
        </w:rPr>
        <w:t>单位</w:t>
      </w:r>
      <w:r>
        <w:rPr>
          <w:rStyle w:val="60"/>
          <w:rFonts w:ascii="楷体" w:hAnsi="楷体" w:eastAsia="楷体" w:cs="楷体"/>
          <w:sz w:val="30"/>
        </w:rPr>
        <w:t>国有资本经营预算支出表</w:t>
      </w:r>
      <w:r>
        <w:rPr>
          <w:rStyle w:val="16"/>
          <w:rFonts w:hint="eastAsia" w:ascii="楷体" w:hAnsi="楷体" w:eastAsia="楷体" w:cs="楷体"/>
          <w:b w:val="0"/>
          <w:bCs w:val="0"/>
          <w:sz w:val="30"/>
          <w:szCs w:val="30"/>
          <w:lang w:val="en-US" w:eastAsia="zh-CN"/>
        </w:rPr>
        <w:tab/>
      </w:r>
      <w:r>
        <w:rPr>
          <w:rStyle w:val="59"/>
          <w:rFonts w:hint="eastAsia" w:ascii="楷体" w:hAnsi="楷体" w:eastAsia="楷体" w:cs="楷体"/>
          <w:b w:val="0"/>
          <w:bCs w:val="0"/>
          <w:sz w:val="30"/>
          <w:szCs w:val="30"/>
          <w:lang w:val="en-US" w:eastAsia="zh-CN"/>
        </w:rPr>
        <w:t>19</w:t>
      </w:r>
      <w:r>
        <w:rPr>
          <w:rStyle w:val="16"/>
          <w:rFonts w:hint="eastAsia" w:ascii="楷体" w:hAnsi="楷体" w:eastAsia="楷体" w:cs="楷体"/>
          <w:b w:val="0"/>
          <w:bCs w:val="0"/>
          <w:sz w:val="30"/>
          <w:szCs w:val="30"/>
          <w:lang w:val="en-US" w:eastAsia="zh-CN"/>
        </w:rPr>
        <w:fldChar w:fldCharType="end"/>
      </w:r>
    </w:p>
    <w:p>
      <w:pPr>
        <w:pStyle w:val="57"/>
        <w:tabs>
          <w:tab w:val="right" w:leader="dot" w:pos="8180"/>
        </w:tabs>
        <w:ind w:left="420"/>
        <w:rPr>
          <w:rStyle w:val="16"/>
          <w:rFonts w:hint="eastAsia" w:ascii="楷体" w:hAnsi="楷体" w:eastAsia="楷体" w:cs="楷体"/>
          <w:b w:val="0"/>
          <w:bCs w:val="0"/>
          <w:sz w:val="30"/>
          <w:szCs w:val="30"/>
          <w:lang w:val="en-US" w:eastAsia="zh-CN"/>
        </w:rPr>
      </w:pPr>
      <w:r>
        <w:rPr>
          <w:rStyle w:val="60"/>
          <w:rFonts w:hint="eastAsia" w:ascii="楷体" w:hAnsi="楷体" w:eastAsia="楷体" w:cs="楷体"/>
          <w:sz w:val="30"/>
          <w:szCs w:val="30"/>
          <w:lang w:eastAsia="zh-CN"/>
        </w:rPr>
        <w:t>（</w:t>
      </w:r>
      <w:r>
        <w:rPr>
          <w:rStyle w:val="60"/>
          <w:rFonts w:hint="eastAsia" w:ascii="楷体" w:hAnsi="楷体" w:eastAsia="楷体" w:cs="楷体"/>
          <w:sz w:val="30"/>
          <w:szCs w:val="30"/>
          <w:lang w:val="en-US" w:eastAsia="zh-CN"/>
        </w:rPr>
        <w:t>十</w:t>
      </w:r>
      <w:r>
        <w:rPr>
          <w:rStyle w:val="60"/>
          <w:rFonts w:hint="eastAsia" w:ascii="楷体" w:hAnsi="楷体" w:eastAsia="楷体" w:cs="楷体"/>
          <w:sz w:val="30"/>
          <w:szCs w:val="30"/>
          <w:lang w:eastAsia="zh-CN"/>
        </w:rPr>
        <w:t>）</w:t>
      </w:r>
      <w:r>
        <w:rPr>
          <w:rStyle w:val="16"/>
          <w:rFonts w:hint="eastAsia" w:ascii="楷体" w:hAnsi="楷体" w:eastAsia="楷体" w:cs="楷体"/>
          <w:b w:val="0"/>
          <w:bCs w:val="0"/>
          <w:sz w:val="30"/>
          <w:szCs w:val="30"/>
          <w:lang w:val="en-US" w:eastAsia="zh-CN"/>
        </w:rPr>
        <w:fldChar w:fldCharType="begin"/>
      </w:r>
      <w:r>
        <w:rPr>
          <w:rStyle w:val="16"/>
          <w:rFonts w:hint="eastAsia" w:ascii="楷体" w:hAnsi="楷体" w:eastAsia="楷体" w:cs="楷体"/>
          <w:b w:val="0"/>
          <w:bCs w:val="0"/>
          <w:sz w:val="30"/>
          <w:szCs w:val="30"/>
          <w:lang w:val="en-US" w:eastAsia="zh-CN"/>
        </w:rPr>
        <w:instrText xml:space="preserve"> HYPERLINK \l _Toc19535 </w:instrText>
      </w:r>
      <w:r>
        <w:rPr>
          <w:rStyle w:val="16"/>
          <w:rFonts w:hint="eastAsia" w:ascii="楷体" w:hAnsi="楷体" w:eastAsia="楷体" w:cs="楷体"/>
          <w:b w:val="0"/>
          <w:bCs w:val="0"/>
          <w:sz w:val="30"/>
          <w:szCs w:val="30"/>
          <w:lang w:val="en-US" w:eastAsia="zh-CN"/>
        </w:rPr>
        <w:fldChar w:fldCharType="separate"/>
      </w:r>
      <w:r>
        <w:rPr>
          <w:rStyle w:val="60"/>
          <w:rFonts w:hint="eastAsia" w:ascii="楷体" w:hAnsi="楷体" w:eastAsia="楷体" w:cs="楷体"/>
          <w:sz w:val="30"/>
          <w:szCs w:val="30"/>
          <w:lang w:val="en-US" w:eastAsia="zh-CN"/>
        </w:rPr>
        <w:t>单位</w:t>
      </w:r>
      <w:r>
        <w:rPr>
          <w:rStyle w:val="60"/>
          <w:rFonts w:ascii="楷体" w:hAnsi="楷体" w:eastAsia="楷体" w:cs="楷体"/>
          <w:sz w:val="30"/>
        </w:rPr>
        <w:t>项目支出预算表</w:t>
      </w:r>
      <w:r>
        <w:rPr>
          <w:rStyle w:val="16"/>
          <w:rFonts w:hint="eastAsia" w:ascii="楷体" w:hAnsi="楷体" w:eastAsia="楷体" w:cs="楷体"/>
          <w:b w:val="0"/>
          <w:bCs w:val="0"/>
          <w:sz w:val="30"/>
          <w:szCs w:val="30"/>
          <w:lang w:val="en-US" w:eastAsia="zh-CN"/>
        </w:rPr>
        <w:tab/>
      </w:r>
      <w:r>
        <w:rPr>
          <w:rStyle w:val="59"/>
          <w:rFonts w:hint="eastAsia" w:ascii="楷体" w:hAnsi="楷体" w:eastAsia="楷体" w:cs="楷体"/>
          <w:b w:val="0"/>
          <w:bCs w:val="0"/>
          <w:sz w:val="30"/>
          <w:szCs w:val="30"/>
          <w:lang w:val="en-US" w:eastAsia="zh-CN"/>
        </w:rPr>
        <w:t>20</w:t>
      </w:r>
      <w:r>
        <w:rPr>
          <w:rStyle w:val="16"/>
          <w:rFonts w:hint="eastAsia" w:ascii="楷体" w:hAnsi="楷体" w:eastAsia="楷体" w:cs="楷体"/>
          <w:b w:val="0"/>
          <w:bCs w:val="0"/>
          <w:sz w:val="30"/>
          <w:szCs w:val="30"/>
          <w:lang w:val="en-US" w:eastAsia="zh-CN"/>
        </w:rPr>
        <w:fldChar w:fldCharType="end"/>
      </w:r>
    </w:p>
    <w:p>
      <w:pPr>
        <w:pStyle w:val="57"/>
        <w:tabs>
          <w:tab w:val="right" w:leader="dot" w:pos="8180"/>
        </w:tabs>
        <w:ind w:left="420"/>
        <w:rPr>
          <w:rStyle w:val="16"/>
          <w:rFonts w:hint="eastAsia" w:ascii="楷体" w:hAnsi="楷体" w:eastAsia="楷体" w:cs="楷体"/>
          <w:b w:val="0"/>
          <w:bCs w:val="0"/>
          <w:sz w:val="30"/>
          <w:szCs w:val="30"/>
          <w:lang w:val="en-US" w:eastAsia="zh-CN"/>
        </w:rPr>
      </w:pPr>
      <w:r>
        <w:rPr>
          <w:rStyle w:val="60"/>
          <w:rFonts w:hint="eastAsia" w:ascii="楷体" w:hAnsi="楷体" w:eastAsia="楷体" w:cs="楷体"/>
          <w:sz w:val="30"/>
          <w:szCs w:val="30"/>
          <w:lang w:eastAsia="zh-CN"/>
        </w:rPr>
        <w:t>（</w:t>
      </w:r>
      <w:r>
        <w:rPr>
          <w:rStyle w:val="60"/>
          <w:rFonts w:hint="eastAsia" w:ascii="楷体" w:hAnsi="楷体" w:eastAsia="楷体" w:cs="楷体"/>
          <w:sz w:val="30"/>
          <w:szCs w:val="30"/>
          <w:lang w:val="en-US" w:eastAsia="zh-CN"/>
        </w:rPr>
        <w:t>十</w:t>
      </w:r>
      <w:r>
        <w:rPr>
          <w:rStyle w:val="60"/>
          <w:rFonts w:hint="eastAsia" w:ascii="楷体" w:hAnsi="楷体" w:eastAsia="楷体" w:cs="楷体"/>
          <w:sz w:val="30"/>
          <w:szCs w:val="30"/>
          <w:lang w:eastAsia="zh-CN"/>
        </w:rPr>
        <w:t>一）</w:t>
      </w:r>
      <w:r>
        <w:rPr>
          <w:rStyle w:val="16"/>
          <w:rFonts w:hint="eastAsia" w:ascii="楷体" w:hAnsi="楷体" w:eastAsia="楷体" w:cs="楷体"/>
          <w:b w:val="0"/>
          <w:bCs w:val="0"/>
          <w:sz w:val="30"/>
          <w:szCs w:val="30"/>
          <w:lang w:val="en-US" w:eastAsia="zh-CN"/>
        </w:rPr>
        <w:fldChar w:fldCharType="begin"/>
      </w:r>
      <w:r>
        <w:rPr>
          <w:rStyle w:val="16"/>
          <w:rFonts w:hint="eastAsia" w:ascii="楷体" w:hAnsi="楷体" w:eastAsia="楷体" w:cs="楷体"/>
          <w:b w:val="0"/>
          <w:bCs w:val="0"/>
          <w:sz w:val="30"/>
          <w:szCs w:val="30"/>
          <w:lang w:val="en-US" w:eastAsia="zh-CN"/>
        </w:rPr>
        <w:instrText xml:space="preserve"> HYPERLINK \l _Toc16042 </w:instrText>
      </w:r>
      <w:r>
        <w:rPr>
          <w:rStyle w:val="16"/>
          <w:rFonts w:hint="eastAsia" w:ascii="楷体" w:hAnsi="楷体" w:eastAsia="楷体" w:cs="楷体"/>
          <w:b w:val="0"/>
          <w:bCs w:val="0"/>
          <w:sz w:val="30"/>
          <w:szCs w:val="30"/>
          <w:lang w:val="en-US" w:eastAsia="zh-CN"/>
        </w:rPr>
        <w:fldChar w:fldCharType="separate"/>
      </w:r>
      <w:r>
        <w:rPr>
          <w:rStyle w:val="60"/>
          <w:rFonts w:hint="eastAsia" w:ascii="楷体" w:hAnsi="楷体" w:eastAsia="楷体" w:cs="楷体"/>
          <w:sz w:val="30"/>
          <w:szCs w:val="30"/>
          <w:lang w:val="en-US" w:eastAsia="zh-CN"/>
        </w:rPr>
        <w:t>单位</w:t>
      </w:r>
      <w:r>
        <w:rPr>
          <w:rStyle w:val="60"/>
          <w:rFonts w:ascii="楷体" w:hAnsi="楷体" w:eastAsia="楷体" w:cs="楷体"/>
          <w:sz w:val="30"/>
        </w:rPr>
        <w:t>项目支出预算绩效目标表</w:t>
      </w:r>
      <w:r>
        <w:rPr>
          <w:rStyle w:val="16"/>
          <w:rFonts w:hint="eastAsia" w:ascii="楷体" w:hAnsi="楷体" w:eastAsia="楷体" w:cs="楷体"/>
          <w:b w:val="0"/>
          <w:bCs w:val="0"/>
          <w:sz w:val="30"/>
          <w:szCs w:val="30"/>
          <w:lang w:val="en-US" w:eastAsia="zh-CN"/>
        </w:rPr>
        <w:tab/>
      </w:r>
      <w:r>
        <w:rPr>
          <w:rStyle w:val="59"/>
          <w:rFonts w:hint="eastAsia" w:ascii="楷体" w:hAnsi="楷体" w:eastAsia="楷体" w:cs="楷体"/>
          <w:b w:val="0"/>
          <w:bCs w:val="0"/>
          <w:sz w:val="30"/>
          <w:szCs w:val="30"/>
          <w:lang w:val="en-US" w:eastAsia="zh-CN"/>
        </w:rPr>
        <w:t>21</w:t>
      </w:r>
      <w:r>
        <w:rPr>
          <w:rStyle w:val="16"/>
          <w:rFonts w:hint="eastAsia" w:ascii="楷体" w:hAnsi="楷体" w:eastAsia="楷体" w:cs="楷体"/>
          <w:b w:val="0"/>
          <w:bCs w:val="0"/>
          <w:sz w:val="30"/>
          <w:szCs w:val="30"/>
          <w:lang w:val="en-US" w:eastAsia="zh-CN"/>
        </w:rPr>
        <w:fldChar w:fldCharType="end"/>
      </w:r>
    </w:p>
    <w:p>
      <w:pPr>
        <w:pStyle w:val="57"/>
        <w:tabs>
          <w:tab w:val="right" w:leader="dot" w:pos="8306"/>
        </w:tabs>
        <w:ind w:left="0" w:leftChars="0" w:firstLine="0" w:firstLineChars="0"/>
        <w:rPr>
          <w:rFonts w:hint="default" w:ascii="黑体" w:hAnsi="黑体" w:eastAsia="黑体" w:cs="黑体"/>
          <w:b w:val="0"/>
          <w:bCs w:val="0"/>
          <w:kern w:val="2"/>
          <w:sz w:val="24"/>
          <w:szCs w:val="24"/>
          <w:lang w:val="en-US" w:eastAsia="zh-CN" w:bidi="ar-SA"/>
        </w:rPr>
      </w:pPr>
      <w:r>
        <w:rPr>
          <w:rFonts w:hint="eastAsia" w:ascii="楷体" w:hAnsi="楷体" w:eastAsia="楷体" w:cs="楷体"/>
          <w:b w:val="0"/>
          <w:bCs w:val="0"/>
          <w:szCs w:val="30"/>
        </w:rPr>
        <w:fldChar w:fldCharType="end"/>
      </w:r>
    </w:p>
    <w:p>
      <w:pPr>
        <w:pStyle w:val="57"/>
        <w:tabs>
          <w:tab w:val="right" w:leader="dot" w:pos="8306"/>
        </w:tabs>
        <w:ind w:left="420"/>
        <w:rPr>
          <w:rFonts w:hint="default" w:ascii="黑体" w:hAnsi="黑体" w:eastAsia="黑体" w:cs="黑体"/>
          <w:b w:val="0"/>
          <w:bCs w:val="0"/>
          <w:kern w:val="2"/>
          <w:sz w:val="24"/>
          <w:szCs w:val="24"/>
          <w:lang w:val="en-US" w:eastAsia="zh-CN" w:bidi="ar-SA"/>
        </w:rPr>
        <w:sectPr>
          <w:footerReference r:id="rId5" w:type="default"/>
          <w:pgSz w:w="11906" w:h="16838"/>
          <w:pgMar w:top="1440" w:right="1803" w:bottom="1440" w:left="1803" w:header="851" w:footer="992" w:gutter="0"/>
          <w:pgNumType w:fmt="decimal" w:start="1"/>
          <w:cols w:space="0" w:num="1"/>
          <w:docGrid w:type="lines" w:linePitch="319" w:charSpace="0"/>
        </w:sectPr>
      </w:pPr>
    </w:p>
    <w:p>
      <w:pPr>
        <w:pStyle w:val="3"/>
        <w:adjustRightInd w:val="0"/>
        <w:snapToGrid w:val="0"/>
        <w:spacing w:before="0" w:after="0"/>
        <w:ind w:firstLine="640"/>
        <w:rPr>
          <w:b w:val="0"/>
          <w:bCs/>
        </w:rPr>
      </w:pPr>
      <w:bookmarkStart w:id="0" w:name="_Toc22549"/>
      <w:bookmarkStart w:id="1" w:name="_Toc14818"/>
      <w:bookmarkStart w:id="2" w:name="_Toc23586"/>
      <w:r>
        <w:rPr>
          <w:rFonts w:hint="eastAsia"/>
          <w:b w:val="0"/>
          <w:bCs/>
        </w:rPr>
        <w:t>一、</w:t>
      </w:r>
      <w:r>
        <w:rPr>
          <w:rFonts w:hint="eastAsia"/>
          <w:b w:val="0"/>
          <w:bCs/>
          <w:lang w:eastAsia="zh-CN"/>
        </w:rPr>
        <w:t>单位</w:t>
      </w:r>
      <w:r>
        <w:rPr>
          <w:rFonts w:hint="eastAsia"/>
          <w:b w:val="0"/>
          <w:bCs/>
        </w:rPr>
        <w:t>概况</w:t>
      </w:r>
      <w:bookmarkEnd w:id="0"/>
      <w:bookmarkEnd w:id="1"/>
      <w:bookmarkEnd w:id="2"/>
    </w:p>
    <w:p>
      <w:pPr>
        <w:pStyle w:val="4"/>
        <w:adjustRightInd w:val="0"/>
        <w:snapToGrid w:val="0"/>
        <w:spacing w:before="0" w:after="0"/>
        <w:ind w:firstLine="640"/>
        <w:rPr>
          <w:rFonts w:hint="eastAsia" w:ascii="楷体" w:hAnsi="楷体" w:eastAsia="楷体" w:cs="楷体"/>
          <w:b w:val="0"/>
          <w:bCs/>
          <w:kern w:val="2"/>
        </w:rPr>
      </w:pPr>
      <w:bookmarkStart w:id="3" w:name="_Toc16811"/>
      <w:bookmarkStart w:id="4" w:name="_Toc1378"/>
      <w:bookmarkStart w:id="5" w:name="_Toc14256"/>
      <w:r>
        <w:rPr>
          <w:rFonts w:hint="eastAsia" w:ascii="楷体" w:hAnsi="楷体" w:eastAsia="楷体" w:cs="楷体"/>
          <w:b w:val="0"/>
          <w:bCs/>
          <w:kern w:val="2"/>
        </w:rPr>
        <w:t>（一）主要职能</w:t>
      </w:r>
      <w:bookmarkEnd w:id="3"/>
      <w:bookmarkEnd w:id="4"/>
      <w:bookmarkEnd w:id="5"/>
    </w:p>
    <w:p>
      <w:pPr>
        <w:snapToGrid w:val="0"/>
        <w:spacing w:line="572"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温州市妇女儿童活动中心为温州市妇女联合会管理的公益一类事业单位，贯彻落实党中央和省市委关于妇女儿童发展工作的方针政策和决策部署，在履行职责过程中坚持和加强党的全面领导。主要职责是：</w:t>
      </w:r>
    </w:p>
    <w:p>
      <w:pPr>
        <w:snapToGrid w:val="0"/>
        <w:spacing w:line="572"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1.承担妇女儿童思想道德教育，加强未成年人思想道德建设；</w:t>
      </w:r>
    </w:p>
    <w:p>
      <w:pPr>
        <w:snapToGrid w:val="0"/>
        <w:spacing w:line="572"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2.协调社会资源，为妇女儿童提供活动场所，开展女性素质、家庭亲子等各类有益身心健康活动；</w:t>
      </w:r>
    </w:p>
    <w:p>
      <w:pPr>
        <w:snapToGrid w:val="0"/>
        <w:spacing w:line="572"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3.为儿童开展思想品德、科技实践、文化艺术、体育劳动等校外素质教育；</w:t>
      </w:r>
    </w:p>
    <w:p>
      <w:pPr>
        <w:snapToGrid w:val="0"/>
        <w:spacing w:line="572"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4.为妇女开展文化知识、实用技术、技能培训等；</w:t>
      </w:r>
    </w:p>
    <w:p>
      <w:pPr>
        <w:snapToGrid w:val="0"/>
        <w:spacing w:line="572"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5.开展家庭教育指导、实践等综合公益服务；</w:t>
      </w:r>
    </w:p>
    <w:p>
      <w:pPr>
        <w:snapToGrid w:val="0"/>
        <w:spacing w:line="572" w:lineRule="exact"/>
        <w:ind w:firstLine="640" w:firstLineChars="200"/>
        <w:rPr>
          <w:rFonts w:hint="eastAsia"/>
        </w:rPr>
      </w:pPr>
      <w:r>
        <w:rPr>
          <w:rFonts w:hint="eastAsia" w:ascii="仿宋_GB2312" w:hAnsi="仿宋" w:eastAsia="仿宋_GB2312" w:cs="宋体"/>
          <w:sz w:val="32"/>
          <w:szCs w:val="32"/>
        </w:rPr>
        <w:t>6.完成温州市妇女联合会交办的其他任务。</w:t>
      </w:r>
    </w:p>
    <w:p>
      <w:pPr>
        <w:pStyle w:val="4"/>
        <w:adjustRightInd w:val="0"/>
        <w:snapToGrid w:val="0"/>
        <w:spacing w:before="0" w:after="0"/>
        <w:ind w:firstLine="640"/>
        <w:rPr>
          <w:rFonts w:hint="eastAsia" w:ascii="楷体" w:hAnsi="楷体" w:eastAsia="楷体" w:cs="楷体"/>
          <w:b w:val="0"/>
          <w:bCs/>
        </w:rPr>
      </w:pPr>
      <w:bookmarkStart w:id="6" w:name="_Toc26083"/>
      <w:bookmarkStart w:id="7" w:name="_Toc3910"/>
      <w:bookmarkStart w:id="8" w:name="_Toc781"/>
      <w:r>
        <w:rPr>
          <w:rFonts w:hint="eastAsia" w:ascii="楷体" w:hAnsi="楷体" w:eastAsia="楷体" w:cs="楷体"/>
          <w:b w:val="0"/>
          <w:bCs/>
          <w:sz w:val="32"/>
        </w:rPr>
        <w:t>（二）</w:t>
      </w:r>
      <w:r>
        <w:rPr>
          <w:rFonts w:hint="eastAsia" w:ascii="楷体" w:hAnsi="楷体" w:eastAsia="楷体" w:cs="楷体"/>
          <w:b w:val="0"/>
          <w:bCs/>
          <w:sz w:val="32"/>
          <w:lang w:eastAsia="zh-CN"/>
        </w:rPr>
        <w:t>单位</w:t>
      </w:r>
      <w:r>
        <w:rPr>
          <w:rFonts w:hint="eastAsia" w:ascii="楷体" w:hAnsi="楷体" w:eastAsia="楷体" w:cs="楷体"/>
          <w:b w:val="0"/>
          <w:bCs/>
          <w:sz w:val="32"/>
        </w:rPr>
        <w:t>机构设置情况</w:t>
      </w:r>
      <w:bookmarkEnd w:id="6"/>
      <w:bookmarkEnd w:id="7"/>
      <w:bookmarkEnd w:id="8"/>
    </w:p>
    <w:p>
      <w:pPr>
        <w:spacing w:line="52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从预算单位构成看，</w:t>
      </w:r>
      <w:r>
        <w:rPr>
          <w:rFonts w:hint="eastAsia" w:ascii="仿宋_GB2312" w:hAnsi="仿宋_GB2312" w:eastAsia="仿宋_GB2312" w:cs="仿宋_GB2312"/>
          <w:color w:val="000000"/>
          <w:kern w:val="0"/>
          <w:sz w:val="32"/>
          <w:szCs w:val="32"/>
          <w:lang w:eastAsia="zh-CN" w:bidi="ar"/>
        </w:rPr>
        <w:t>温州市妇女儿童活动中心</w:t>
      </w:r>
      <w:r>
        <w:rPr>
          <w:rFonts w:hint="eastAsia" w:ascii="仿宋_GB2312" w:hAnsi="仿宋_GB2312" w:eastAsia="仿宋_GB2312" w:cs="仿宋_GB2312"/>
          <w:bCs/>
          <w:sz w:val="32"/>
          <w:szCs w:val="32"/>
          <w:lang w:eastAsia="zh-CN"/>
        </w:rPr>
        <w:t>单位</w:t>
      </w:r>
      <w:r>
        <w:rPr>
          <w:rFonts w:hint="eastAsia" w:ascii="仿宋_GB2312" w:hAnsi="仿宋_GB2312" w:eastAsia="仿宋_GB2312" w:cs="仿宋_GB2312"/>
          <w:bCs/>
          <w:sz w:val="32"/>
          <w:szCs w:val="32"/>
        </w:rPr>
        <w:t>预算包括：</w:t>
      </w:r>
      <w:r>
        <w:rPr>
          <w:rFonts w:hint="eastAsia" w:ascii="仿宋_GB2312" w:hAnsi="仿宋_GB2312" w:eastAsia="仿宋_GB2312" w:cs="仿宋_GB2312"/>
          <w:color w:val="000000"/>
          <w:kern w:val="0"/>
          <w:sz w:val="32"/>
          <w:szCs w:val="32"/>
          <w:lang w:eastAsia="zh-CN" w:bidi="ar"/>
        </w:rPr>
        <w:t>温州市妇女儿童活动中心单位预算。</w:t>
      </w:r>
    </w:p>
    <w:p>
      <w:pPr>
        <w:numPr>
          <w:ilvl w:val="0"/>
          <w:numId w:val="1"/>
        </w:numPr>
        <w:adjustRightInd w:val="0"/>
        <w:snapToGrid w:val="0"/>
        <w:spacing w:line="520" w:lineRule="exact"/>
        <w:ind w:firstLine="640" w:firstLineChars="200"/>
        <w:outlineLvl w:val="0"/>
        <w:rPr>
          <w:rFonts w:hint="eastAsia" w:ascii="黑体" w:hAnsi="黑体" w:eastAsia="黑体" w:cs="黑体"/>
          <w:b w:val="0"/>
          <w:bCs/>
          <w:kern w:val="44"/>
          <w:sz w:val="32"/>
          <w:lang w:val="en-US" w:eastAsia="zh-CN" w:bidi="ar-SA"/>
        </w:rPr>
      </w:pPr>
      <w:bookmarkStart w:id="9" w:name="_Toc7865"/>
      <w:bookmarkStart w:id="10" w:name="_Toc27824"/>
      <w:bookmarkStart w:id="11" w:name="_Toc13054"/>
      <w:r>
        <w:rPr>
          <w:rFonts w:hint="eastAsia" w:ascii="黑体" w:hAnsi="黑体" w:eastAsia="黑体" w:cs="黑体"/>
          <w:b w:val="0"/>
          <w:bCs/>
          <w:kern w:val="44"/>
          <w:sz w:val="32"/>
          <w:lang w:val="en-US" w:eastAsia="zh-CN" w:bidi="ar-SA"/>
        </w:rPr>
        <w:t>2023</w:t>
      </w:r>
      <w:bookmarkEnd w:id="9"/>
      <w:bookmarkEnd w:id="10"/>
      <w:bookmarkEnd w:id="11"/>
      <w:r>
        <w:rPr>
          <w:rFonts w:ascii="黑体" w:hAnsi="黑体" w:eastAsia="黑体" w:cs="黑体"/>
          <w:sz w:val="32"/>
        </w:rPr>
        <w:t>年单位预算安排情况说明</w:t>
      </w:r>
      <w:r>
        <w:rPr>
          <w:rStyle w:val="25"/>
          <w:rFonts w:hint="eastAsia" w:ascii="黑体" w:hAnsi="黑体" w:eastAsia="黑体" w:cs="黑体"/>
          <w:b w:val="0"/>
          <w:bCs/>
          <w:kern w:val="44"/>
          <w:sz w:val="32"/>
          <w:lang w:val="en-US" w:eastAsia="zh-CN" w:bidi="ar-SA"/>
        </w:rPr>
        <w:footnoteReference w:id="0"/>
      </w:r>
    </w:p>
    <w:p>
      <w:pPr>
        <w:spacing w:line="600" w:lineRule="exact"/>
        <w:ind w:firstLine="640" w:firstLineChars="200"/>
        <w:outlineLvl w:val="1"/>
        <w:rPr>
          <w:rFonts w:hint="eastAsia" w:ascii="仿宋_GB2312" w:eastAsia="仿宋_GB2312"/>
          <w:sz w:val="32"/>
          <w:szCs w:val="32"/>
        </w:rPr>
      </w:pPr>
      <w:bookmarkStart w:id="12" w:name="_Toc11805"/>
      <w:bookmarkStart w:id="13" w:name="_Toc24413"/>
      <w:r>
        <w:rPr>
          <w:rFonts w:hint="eastAsia" w:ascii="楷体" w:hAnsi="楷体" w:eastAsia="楷体" w:cs="楷体"/>
          <w:b w:val="0"/>
          <w:bCs/>
          <w:kern w:val="2"/>
          <w:sz w:val="32"/>
          <w:lang w:val="en-US" w:eastAsia="zh-CN" w:bidi="ar-SA"/>
        </w:rPr>
        <w:t>（一）收支预算情况的总体说明</w:t>
      </w:r>
    </w:p>
    <w:p>
      <w:pPr>
        <w:spacing w:line="600" w:lineRule="exact"/>
        <w:ind w:firstLine="640" w:firstLineChars="200"/>
        <w:rPr>
          <w:rFonts w:hint="eastAsia" w:ascii="仿宋_GB2312" w:eastAsia="仿宋_GB2312"/>
          <w:sz w:val="32"/>
          <w:szCs w:val="32"/>
        </w:rPr>
      </w:pPr>
      <w:r>
        <w:rPr>
          <w:rFonts w:ascii="仿宋_GB2312" w:hAnsi="仿宋_GB2312" w:eastAsia="仿宋_GB2312" w:cs="仿宋_GB2312"/>
          <w:sz w:val="32"/>
        </w:rPr>
        <w:t>按照综合预算的原则，温州市妇女儿童活动中心所有收入和支出均纳入单位预算管理。收入包括：一般公共预算、财政专户管理资金；支出包括：一般公共服务支出、社会保障和就业支出、卫生健康支出、住房保障支出。温州市妇女儿童活动中心2023年收支总预算1,775.09万元。</w:t>
      </w:r>
    </w:p>
    <w:p>
      <w:pPr>
        <w:spacing w:line="600" w:lineRule="exact"/>
        <w:ind w:firstLine="640" w:firstLineChars="200"/>
        <w:outlineLvl w:val="1"/>
        <w:rPr>
          <w:rFonts w:hint="eastAsia" w:ascii="仿宋_GB2312" w:eastAsia="仿宋_GB2312"/>
          <w:sz w:val="32"/>
          <w:szCs w:val="32"/>
        </w:rPr>
      </w:pPr>
      <w:r>
        <w:rPr>
          <w:rFonts w:hint="eastAsia" w:ascii="楷体" w:hAnsi="楷体" w:eastAsia="楷体" w:cs="楷体"/>
          <w:b w:val="0"/>
          <w:bCs/>
          <w:kern w:val="2"/>
          <w:sz w:val="32"/>
          <w:lang w:val="en-US" w:eastAsia="zh-CN" w:bidi="ar-SA"/>
        </w:rPr>
        <w:t>（二）收入预算情况说明</w:t>
      </w:r>
    </w:p>
    <w:p>
      <w:pPr>
        <w:spacing w:line="600" w:lineRule="exact"/>
        <w:ind w:firstLine="640" w:firstLineChars="200"/>
        <w:rPr>
          <w:rFonts w:hint="eastAsia" w:ascii="仿宋_GB2312" w:eastAsia="仿宋_GB2312"/>
          <w:sz w:val="32"/>
          <w:szCs w:val="32"/>
        </w:rPr>
      </w:pPr>
      <w:r>
        <w:rPr>
          <w:rFonts w:ascii="仿宋_GB2312" w:hAnsi="仿宋_GB2312" w:eastAsia="仿宋_GB2312" w:cs="仿宋_GB2312"/>
          <w:sz w:val="32"/>
        </w:rPr>
        <w:t>温州市妇女儿童活动中心2023年收入预算1,775.09万元，比上年执行数增加22.70万元，增长1.3%，主要是</w:t>
      </w:r>
      <w:r>
        <w:rPr>
          <w:rFonts w:hint="eastAsia" w:ascii="仿宋_GB2312" w:hAnsi="仿宋_GB2312" w:eastAsia="仿宋_GB2312" w:cs="仿宋_GB2312"/>
          <w:color w:val="000000"/>
          <w:sz w:val="32"/>
          <w:szCs w:val="32"/>
          <w:highlight w:val="none"/>
          <w:lang w:val="en-US" w:eastAsia="zh-CN"/>
        </w:rPr>
        <w:t>人员增加</w:t>
      </w:r>
      <w:r>
        <w:rPr>
          <w:rFonts w:ascii="仿宋_GB2312" w:hAnsi="仿宋_GB2312" w:eastAsia="仿宋_GB2312" w:cs="仿宋_GB2312"/>
          <w:sz w:val="32"/>
        </w:rPr>
        <w:t>。</w:t>
      </w:r>
    </w:p>
    <w:p>
      <w:pPr>
        <w:spacing w:line="600" w:lineRule="exact"/>
        <w:ind w:firstLine="640" w:firstLineChars="200"/>
        <w:rPr>
          <w:rFonts w:hint="eastAsia" w:ascii="仿宋_GB2312" w:eastAsia="仿宋_GB2312"/>
          <w:sz w:val="32"/>
          <w:szCs w:val="32"/>
        </w:rPr>
      </w:pPr>
      <w:r>
        <w:rPr>
          <w:rFonts w:ascii="仿宋_GB2312" w:hAnsi="仿宋_GB2312" w:eastAsia="仿宋_GB2312" w:cs="仿宋_GB2312"/>
          <w:sz w:val="32"/>
        </w:rPr>
        <w:t>其中：一般公共预算880.59万元，占49.6%；财政专户管理资金894.50万元，占50.4%。</w:t>
      </w:r>
    </w:p>
    <w:p>
      <w:pPr>
        <w:spacing w:line="600" w:lineRule="exact"/>
        <w:ind w:firstLine="640" w:firstLineChars="200"/>
        <w:outlineLvl w:val="1"/>
        <w:rPr>
          <w:rFonts w:hint="eastAsia" w:ascii="仿宋_GB2312" w:eastAsia="仿宋_GB2312"/>
          <w:sz w:val="32"/>
          <w:szCs w:val="32"/>
        </w:rPr>
      </w:pPr>
      <w:r>
        <w:rPr>
          <w:rFonts w:hint="eastAsia" w:ascii="楷体" w:hAnsi="楷体" w:eastAsia="楷体" w:cs="楷体"/>
          <w:b w:val="0"/>
          <w:bCs/>
          <w:kern w:val="2"/>
          <w:sz w:val="32"/>
          <w:lang w:val="en-US" w:eastAsia="zh-CN" w:bidi="ar-SA"/>
        </w:rPr>
        <w:t>（三）支出预算情况说明</w:t>
      </w:r>
    </w:p>
    <w:p>
      <w:pPr>
        <w:spacing w:line="600" w:lineRule="exact"/>
        <w:ind w:firstLine="640" w:firstLineChars="200"/>
        <w:rPr>
          <w:rFonts w:hint="eastAsia" w:ascii="仿宋_GB2312" w:eastAsia="仿宋_GB2312"/>
          <w:sz w:val="32"/>
          <w:szCs w:val="32"/>
        </w:rPr>
      </w:pPr>
      <w:r>
        <w:rPr>
          <w:rFonts w:ascii="仿宋_GB2312" w:hAnsi="仿宋_GB2312" w:eastAsia="仿宋_GB2312" w:cs="仿宋_GB2312"/>
          <w:sz w:val="32"/>
        </w:rPr>
        <w:t>温州市妇女儿童活动中心2023年支出预算1,775.09万元，比上年执行数增加22.70万元，增长1.3%，主要是</w:t>
      </w:r>
      <w:r>
        <w:rPr>
          <w:rFonts w:hint="eastAsia" w:ascii="仿宋_GB2312" w:hAnsi="仿宋_GB2312" w:eastAsia="仿宋_GB2312" w:cs="仿宋_GB2312"/>
          <w:color w:val="000000"/>
          <w:sz w:val="32"/>
          <w:szCs w:val="32"/>
          <w:highlight w:val="none"/>
          <w:lang w:val="en-US" w:eastAsia="zh-CN"/>
        </w:rPr>
        <w:t>人员增加</w:t>
      </w:r>
      <w:r>
        <w:rPr>
          <w:rFonts w:ascii="仿宋_GB2312" w:hAnsi="仿宋_GB2312" w:eastAsia="仿宋_GB2312" w:cs="仿宋_GB2312"/>
          <w:sz w:val="32"/>
        </w:rPr>
        <w:t>。</w:t>
      </w:r>
    </w:p>
    <w:p>
      <w:pPr>
        <w:spacing w:line="600" w:lineRule="exact"/>
        <w:ind w:firstLine="640" w:firstLineChars="200"/>
        <w:rPr>
          <w:rFonts w:hint="eastAsia" w:ascii="仿宋_GB2312" w:eastAsia="仿宋_GB2312"/>
          <w:sz w:val="32"/>
          <w:szCs w:val="32"/>
        </w:rPr>
      </w:pPr>
      <w:r>
        <w:rPr>
          <w:rFonts w:ascii="仿宋_GB2312" w:hAnsi="仿宋_GB2312" w:eastAsia="仿宋_GB2312" w:cs="仿宋_GB2312"/>
          <w:sz w:val="32"/>
        </w:rPr>
        <w:t>1.按支出功能分类，包括一般公共服务支出1,599.96万元、社会保障和就业支出74.58万元、卫生健康支出35.82万元、住房保障支出64.73万元；</w:t>
      </w:r>
    </w:p>
    <w:p>
      <w:pPr>
        <w:spacing w:line="600" w:lineRule="exact"/>
        <w:ind w:firstLine="640" w:firstLineChars="200"/>
        <w:rPr>
          <w:rFonts w:hint="eastAsia" w:ascii="仿宋_GB2312" w:eastAsia="仿宋_GB2312"/>
          <w:sz w:val="32"/>
          <w:szCs w:val="32"/>
        </w:rPr>
      </w:pPr>
      <w:r>
        <w:rPr>
          <w:rFonts w:ascii="仿宋_GB2312" w:hAnsi="仿宋_GB2312" w:eastAsia="仿宋_GB2312" w:cs="仿宋_GB2312"/>
          <w:sz w:val="32"/>
        </w:rPr>
        <w:t>2.按支出用途分类，包括人员支出668.88万元，占37.7%；日常公用支出62.91万元，占3.5%；项目支出1,043.30万元，占58.8%。</w:t>
      </w:r>
    </w:p>
    <w:p>
      <w:pPr>
        <w:spacing w:line="600" w:lineRule="exact"/>
        <w:ind w:firstLine="640" w:firstLineChars="200"/>
        <w:outlineLvl w:val="1"/>
        <w:rPr>
          <w:rFonts w:hint="eastAsia" w:ascii="仿宋_GB2312" w:eastAsia="仿宋_GB2312"/>
          <w:sz w:val="32"/>
          <w:szCs w:val="32"/>
        </w:rPr>
      </w:pPr>
      <w:r>
        <w:rPr>
          <w:rFonts w:hint="eastAsia" w:ascii="楷体" w:hAnsi="楷体" w:eastAsia="楷体" w:cs="楷体"/>
          <w:b w:val="0"/>
          <w:bCs/>
          <w:kern w:val="2"/>
          <w:sz w:val="32"/>
          <w:lang w:val="en-US" w:eastAsia="zh-CN" w:bidi="ar-SA"/>
        </w:rPr>
        <w:t>（四）财政拨款收支预算情况的总体说明</w:t>
      </w:r>
    </w:p>
    <w:p>
      <w:pPr>
        <w:spacing w:line="600" w:lineRule="exact"/>
        <w:ind w:firstLine="640" w:firstLineChars="200"/>
        <w:rPr>
          <w:rFonts w:hint="eastAsia" w:ascii="仿宋_GB2312" w:eastAsia="仿宋_GB2312"/>
          <w:sz w:val="32"/>
          <w:szCs w:val="32"/>
        </w:rPr>
      </w:pPr>
      <w:r>
        <w:rPr>
          <w:rFonts w:ascii="仿宋_GB2312" w:hAnsi="仿宋_GB2312" w:eastAsia="仿宋_GB2312" w:cs="仿宋_GB2312"/>
          <w:sz w:val="32"/>
        </w:rPr>
        <w:t>温州市妇女儿童活动中心2023年财政拨款收支总预算880.59万元。收入包括：一般公共预算880.59万元；支出包括：一般公共服务支出705.46万元、社会保障和就业支出74.58万元、卫生健康支出35.82万元、住房保障支出64.73万元。</w:t>
      </w:r>
    </w:p>
    <w:p>
      <w:pPr>
        <w:spacing w:line="600" w:lineRule="exact"/>
        <w:ind w:firstLine="640" w:firstLineChars="200"/>
        <w:outlineLvl w:val="1"/>
        <w:rPr>
          <w:rFonts w:hint="eastAsia" w:ascii="仿宋_GB2312" w:eastAsia="仿宋_GB2312"/>
          <w:sz w:val="32"/>
          <w:szCs w:val="32"/>
        </w:rPr>
      </w:pPr>
      <w:r>
        <w:rPr>
          <w:rFonts w:hint="eastAsia" w:ascii="楷体" w:hAnsi="楷体" w:eastAsia="楷体" w:cs="楷体"/>
          <w:b w:val="0"/>
          <w:bCs/>
          <w:kern w:val="2"/>
          <w:sz w:val="32"/>
          <w:lang w:val="en-US" w:eastAsia="zh-CN" w:bidi="ar-SA"/>
        </w:rPr>
        <w:t>（五）一般公共预算当年拨款情况说明</w:t>
      </w:r>
    </w:p>
    <w:p>
      <w:pPr>
        <w:spacing w:line="600" w:lineRule="exact"/>
        <w:ind w:firstLine="640" w:firstLineChars="200"/>
        <w:outlineLvl w:val="1"/>
        <w:rPr>
          <w:rFonts w:hint="eastAsia" w:ascii="仿宋_GB2312" w:eastAsia="仿宋_GB2312"/>
          <w:sz w:val="32"/>
          <w:szCs w:val="32"/>
        </w:rPr>
      </w:pPr>
      <w:r>
        <w:rPr>
          <w:rFonts w:hint="eastAsia" w:ascii="楷体" w:hAnsi="楷体" w:eastAsia="楷体" w:cs="楷体"/>
          <w:b w:val="0"/>
          <w:bCs/>
          <w:kern w:val="2"/>
          <w:sz w:val="32"/>
          <w:lang w:val="en-US" w:eastAsia="zh-CN" w:bidi="ar-SA"/>
        </w:rPr>
        <w:t>1.一般公共预算当年拨款规模变化情况。</w:t>
      </w:r>
    </w:p>
    <w:p>
      <w:pPr>
        <w:spacing w:line="600" w:lineRule="exact"/>
        <w:ind w:firstLine="640" w:firstLineChars="200"/>
        <w:rPr>
          <w:rFonts w:hint="eastAsia" w:ascii="仿宋_GB2312" w:eastAsia="仿宋_GB2312"/>
          <w:sz w:val="32"/>
          <w:szCs w:val="32"/>
        </w:rPr>
      </w:pPr>
      <w:r>
        <w:rPr>
          <w:rFonts w:ascii="仿宋_GB2312" w:hAnsi="仿宋_GB2312" w:eastAsia="仿宋_GB2312" w:cs="仿宋_GB2312"/>
          <w:sz w:val="32"/>
        </w:rPr>
        <w:t>温州市妇女儿童活动中心2023年一般公共预算当年拨款880.59万元，比上年执行数减少3.55万元，下降0.4%，主要是</w:t>
      </w:r>
      <w:r>
        <w:rPr>
          <w:rFonts w:hint="eastAsia" w:ascii="仿宋_GB2312" w:hAnsi="仿宋" w:eastAsia="仿宋_GB2312" w:cs="宋体"/>
          <w:sz w:val="32"/>
          <w:szCs w:val="32"/>
        </w:rPr>
        <w:t>202</w:t>
      </w:r>
      <w:r>
        <w:rPr>
          <w:rFonts w:hint="eastAsia" w:ascii="仿宋_GB2312" w:hAnsi="仿宋" w:eastAsia="仿宋_GB2312" w:cs="宋体"/>
          <w:sz w:val="32"/>
          <w:szCs w:val="32"/>
          <w:lang w:val="en-US" w:eastAsia="zh-CN"/>
        </w:rPr>
        <w:t>3</w:t>
      </w:r>
      <w:r>
        <w:rPr>
          <w:rFonts w:hint="eastAsia" w:ascii="仿宋_GB2312" w:hAnsi="仿宋" w:eastAsia="仿宋_GB2312" w:cs="宋体"/>
          <w:sz w:val="32"/>
          <w:szCs w:val="32"/>
        </w:rPr>
        <w:t>年</w:t>
      </w:r>
      <w:r>
        <w:rPr>
          <w:rFonts w:hint="eastAsia" w:ascii="仿宋_GB2312" w:hAnsi="仿宋" w:eastAsia="仿宋_GB2312" w:cs="宋体"/>
          <w:sz w:val="32"/>
          <w:szCs w:val="32"/>
          <w:lang w:eastAsia="zh-CN"/>
        </w:rPr>
        <w:t>项目经费中一般公共预算部分减少</w:t>
      </w:r>
      <w:r>
        <w:rPr>
          <w:rFonts w:ascii="仿宋_GB2312" w:hAnsi="仿宋_GB2312" w:eastAsia="仿宋_GB2312" w:cs="仿宋_GB2312"/>
          <w:sz w:val="32"/>
        </w:rPr>
        <w:t>。</w:t>
      </w:r>
    </w:p>
    <w:p>
      <w:pPr>
        <w:spacing w:line="600" w:lineRule="exact"/>
        <w:ind w:firstLine="640" w:firstLineChars="200"/>
        <w:outlineLvl w:val="1"/>
        <w:rPr>
          <w:rFonts w:hint="eastAsia" w:ascii="仿宋_GB2312" w:eastAsia="仿宋_GB2312"/>
          <w:sz w:val="32"/>
          <w:szCs w:val="32"/>
        </w:rPr>
      </w:pPr>
      <w:r>
        <w:rPr>
          <w:rFonts w:hint="eastAsia" w:ascii="楷体" w:hAnsi="楷体" w:eastAsia="楷体" w:cs="楷体"/>
          <w:b w:val="0"/>
          <w:bCs/>
          <w:kern w:val="2"/>
          <w:sz w:val="32"/>
          <w:lang w:val="en-US" w:eastAsia="zh-CN" w:bidi="ar-SA"/>
        </w:rPr>
        <w:t>2.一般公共预算当年拨款结构情况。</w:t>
      </w:r>
    </w:p>
    <w:p>
      <w:pPr>
        <w:spacing w:line="600" w:lineRule="exact"/>
        <w:ind w:firstLine="640" w:firstLineChars="200"/>
        <w:rPr>
          <w:rFonts w:hint="eastAsia" w:ascii="仿宋_GB2312" w:eastAsia="仿宋_GB2312"/>
          <w:sz w:val="32"/>
          <w:szCs w:val="32"/>
        </w:rPr>
      </w:pPr>
      <w:r>
        <w:rPr>
          <w:rFonts w:ascii="仿宋_GB2312" w:hAnsi="仿宋_GB2312" w:eastAsia="仿宋_GB2312" w:cs="仿宋_GB2312"/>
          <w:sz w:val="32"/>
        </w:rPr>
        <w:t>一般公共服务（类）支出705.46万元，占80.1%；社会保障和就业（类）支出74.58万元，占8.5%；卫生健康（类）支出35.82万元，占4.1%；住房保障（类）支出64.73万元，占7.3%。</w:t>
      </w:r>
    </w:p>
    <w:p>
      <w:pPr>
        <w:spacing w:line="600" w:lineRule="exact"/>
        <w:ind w:firstLine="640" w:firstLineChars="200"/>
        <w:outlineLvl w:val="1"/>
        <w:rPr>
          <w:rFonts w:hint="eastAsia" w:ascii="仿宋_GB2312" w:eastAsia="仿宋_GB2312"/>
          <w:sz w:val="32"/>
          <w:szCs w:val="32"/>
        </w:rPr>
      </w:pPr>
      <w:r>
        <w:rPr>
          <w:rFonts w:hint="eastAsia" w:ascii="楷体" w:hAnsi="楷体" w:eastAsia="楷体" w:cs="楷体"/>
          <w:b w:val="0"/>
          <w:bCs/>
          <w:kern w:val="2"/>
          <w:sz w:val="32"/>
          <w:lang w:val="en-US" w:eastAsia="zh-CN" w:bidi="ar-SA"/>
        </w:rPr>
        <w:t>3.一般公共预算当年拨款具体使用情况。</w:t>
      </w:r>
    </w:p>
    <w:p>
      <w:pPr>
        <w:spacing w:line="640" w:lineRule="exact"/>
        <w:ind w:firstLine="480" w:firstLineChars="150"/>
        <w:rPr>
          <w:rFonts w:hint="eastAsia" w:ascii="仿宋_GB2312" w:hAnsi="仿宋_GB2312" w:eastAsia="仿宋_GB2312" w:cs="仿宋_GB2312"/>
          <w:sz w:val="32"/>
        </w:rPr>
      </w:pPr>
      <w:r>
        <w:rPr>
          <w:rFonts w:ascii="仿宋_GB2312" w:hAnsi="仿宋_GB2312" w:eastAsia="仿宋_GB2312" w:cs="仿宋_GB2312"/>
          <w:sz w:val="32"/>
        </w:rPr>
        <w:t>（1）一般公共服务支出（类）群众团体事务（款）事业运行（项）556.66万元，主要用于</w:t>
      </w:r>
      <w:r>
        <w:rPr>
          <w:rFonts w:hint="eastAsia" w:ascii="仿宋_GB2312" w:hAnsi="仿宋_GB2312" w:eastAsia="仿宋_GB2312" w:cs="仿宋_GB2312"/>
          <w:sz w:val="32"/>
        </w:rPr>
        <w:t>事业单位人员工资及日常公用支出</w:t>
      </w:r>
      <w:r>
        <w:rPr>
          <w:rFonts w:ascii="仿宋_GB2312" w:hAnsi="仿宋_GB2312" w:eastAsia="仿宋_GB2312" w:cs="仿宋_GB2312"/>
          <w:sz w:val="32"/>
        </w:rPr>
        <w:t>。</w:t>
      </w:r>
    </w:p>
    <w:p>
      <w:pPr>
        <w:spacing w:line="600" w:lineRule="exact"/>
        <w:ind w:firstLine="640" w:firstLineChars="200"/>
        <w:rPr>
          <w:rFonts w:hint="eastAsia" w:ascii="仿宋_GB2312" w:eastAsia="仿宋_GB2312"/>
          <w:sz w:val="32"/>
          <w:szCs w:val="32"/>
        </w:rPr>
      </w:pPr>
      <w:r>
        <w:rPr>
          <w:rFonts w:ascii="仿宋_GB2312" w:hAnsi="仿宋_GB2312" w:eastAsia="仿宋_GB2312" w:cs="仿宋_GB2312"/>
          <w:sz w:val="32"/>
        </w:rPr>
        <w:t>（2）一般公共服务支出（类）群众团体事务（款）其他群众团体事务支出（项）148.80万元，主要用于</w:t>
      </w:r>
      <w:r>
        <w:rPr>
          <w:rFonts w:hint="eastAsia" w:ascii="仿宋_GB2312" w:hAnsi="仿宋_GB2312" w:eastAsia="仿宋_GB2312" w:cs="仿宋_GB2312"/>
          <w:sz w:val="32"/>
          <w:lang w:eastAsia="zh-CN"/>
        </w:rPr>
        <w:t>温州市</w:t>
      </w:r>
      <w:r>
        <w:rPr>
          <w:rFonts w:hint="eastAsia" w:ascii="仿宋_GB2312" w:hAnsi="仿宋_GB2312" w:eastAsia="仿宋_GB2312" w:cs="仿宋_GB2312"/>
          <w:sz w:val="32"/>
        </w:rPr>
        <w:t>妇女儿童活动中心教育活动经费、专项修缮费</w:t>
      </w:r>
      <w:r>
        <w:rPr>
          <w:rFonts w:hint="eastAsia" w:ascii="仿宋_GB2312" w:hAnsi="仿宋_GB2312" w:eastAsia="仿宋_GB2312" w:cs="仿宋_GB2312"/>
          <w:sz w:val="32"/>
          <w:lang w:eastAsia="zh-CN"/>
        </w:rPr>
        <w:t>等支出</w:t>
      </w:r>
      <w:r>
        <w:rPr>
          <w:rFonts w:ascii="仿宋_GB2312" w:hAnsi="仿宋_GB2312" w:eastAsia="仿宋_GB2312" w:cs="仿宋_GB2312"/>
          <w:sz w:val="32"/>
        </w:rPr>
        <w:t>。</w:t>
      </w:r>
    </w:p>
    <w:p>
      <w:pPr>
        <w:spacing w:line="600" w:lineRule="exact"/>
        <w:ind w:firstLine="640" w:firstLineChars="200"/>
        <w:rPr>
          <w:rFonts w:hint="eastAsia" w:ascii="仿宋_GB2312" w:hAnsi="仿宋_GB2312" w:eastAsia="仿宋_GB2312" w:cs="仿宋_GB2312"/>
          <w:sz w:val="32"/>
        </w:rPr>
      </w:pPr>
      <w:r>
        <w:rPr>
          <w:rFonts w:ascii="仿宋_GB2312" w:hAnsi="仿宋_GB2312" w:eastAsia="仿宋_GB2312" w:cs="仿宋_GB2312"/>
          <w:sz w:val="32"/>
        </w:rPr>
        <w:t>（3）社会保障和就业支出（类）行政事业单位养老支出（款）机关事业单位基本养老保险缴费支出（项）49.72万元，主要用于</w:t>
      </w:r>
      <w:r>
        <w:rPr>
          <w:rFonts w:hint="eastAsia" w:ascii="仿宋_GB2312" w:hAnsi="仿宋_GB2312" w:eastAsia="仿宋_GB2312" w:cs="仿宋_GB2312"/>
          <w:sz w:val="32"/>
        </w:rPr>
        <w:t>事业单位人员的基本养老保险经费支出</w:t>
      </w:r>
      <w:r>
        <w:rPr>
          <w:rFonts w:ascii="仿宋_GB2312" w:hAnsi="仿宋_GB2312" w:eastAsia="仿宋_GB2312" w:cs="仿宋_GB2312"/>
          <w:sz w:val="32"/>
        </w:rPr>
        <w:t>。</w:t>
      </w:r>
    </w:p>
    <w:p>
      <w:pPr>
        <w:spacing w:line="600" w:lineRule="exact"/>
        <w:ind w:firstLine="640" w:firstLineChars="200"/>
        <w:rPr>
          <w:rFonts w:hint="eastAsia" w:ascii="仿宋_GB2312" w:eastAsia="仿宋_GB2312"/>
          <w:sz w:val="32"/>
          <w:szCs w:val="32"/>
        </w:rPr>
      </w:pPr>
      <w:r>
        <w:rPr>
          <w:rFonts w:ascii="仿宋_GB2312" w:hAnsi="仿宋_GB2312" w:eastAsia="仿宋_GB2312" w:cs="仿宋_GB2312"/>
          <w:sz w:val="32"/>
        </w:rPr>
        <w:t>（4）社会保障和就业支出（类）行政事业单位养老支出（款）机关事业单位职业年金缴费支出（项）24.86万元，主要用于</w:t>
      </w:r>
      <w:r>
        <w:rPr>
          <w:rFonts w:hint="eastAsia" w:ascii="仿宋_GB2312" w:hAnsi="仿宋_GB2312" w:eastAsia="仿宋_GB2312" w:cs="仿宋_GB2312"/>
          <w:sz w:val="32"/>
        </w:rPr>
        <w:t>事业单位人员的职业年金经费支出</w:t>
      </w:r>
      <w:r>
        <w:rPr>
          <w:rFonts w:ascii="仿宋_GB2312" w:hAnsi="仿宋_GB2312" w:eastAsia="仿宋_GB2312" w:cs="仿宋_GB2312"/>
          <w:sz w:val="32"/>
        </w:rPr>
        <w:t>。</w:t>
      </w:r>
    </w:p>
    <w:p>
      <w:pPr>
        <w:spacing w:line="600" w:lineRule="exact"/>
        <w:ind w:firstLine="640" w:firstLineChars="200"/>
        <w:rPr>
          <w:rFonts w:hint="eastAsia" w:ascii="仿宋_GB2312" w:hAnsi="仿宋_GB2312" w:eastAsia="仿宋_GB2312" w:cs="仿宋_GB2312"/>
          <w:sz w:val="32"/>
        </w:rPr>
      </w:pPr>
      <w:r>
        <w:rPr>
          <w:rFonts w:ascii="仿宋_GB2312" w:hAnsi="仿宋_GB2312" w:eastAsia="仿宋_GB2312" w:cs="仿宋_GB2312"/>
          <w:sz w:val="32"/>
        </w:rPr>
        <w:t>（5）卫生健康支出（类）行政事业单位医疗（款）事业单位医疗（项）20.31万元，主要用于</w:t>
      </w:r>
      <w:r>
        <w:rPr>
          <w:rFonts w:hint="eastAsia" w:ascii="仿宋_GB2312" w:hAnsi="仿宋_GB2312" w:eastAsia="仿宋_GB2312" w:cs="仿宋_GB2312"/>
          <w:sz w:val="32"/>
        </w:rPr>
        <w:t>事业</w:t>
      </w:r>
      <w:r>
        <w:rPr>
          <w:rFonts w:hint="eastAsia" w:ascii="仿宋_GB2312" w:hAnsi="仿宋_GB2312" w:eastAsia="仿宋_GB2312" w:cs="仿宋_GB2312"/>
          <w:sz w:val="32"/>
          <w:lang w:eastAsia="zh-CN"/>
        </w:rPr>
        <w:t>单位</w:t>
      </w:r>
      <w:r>
        <w:rPr>
          <w:rFonts w:hint="eastAsia" w:ascii="仿宋_GB2312" w:hAnsi="仿宋_GB2312" w:eastAsia="仿宋_GB2312" w:cs="仿宋_GB2312"/>
          <w:sz w:val="32"/>
        </w:rPr>
        <w:t>人员的医疗保险的支出</w:t>
      </w:r>
      <w:r>
        <w:rPr>
          <w:rFonts w:ascii="仿宋_GB2312" w:hAnsi="仿宋_GB2312" w:eastAsia="仿宋_GB2312" w:cs="仿宋_GB2312"/>
          <w:sz w:val="32"/>
        </w:rPr>
        <w:t>。</w:t>
      </w:r>
    </w:p>
    <w:p>
      <w:pPr>
        <w:spacing w:line="600" w:lineRule="exact"/>
        <w:ind w:firstLine="640" w:firstLineChars="200"/>
        <w:rPr>
          <w:rFonts w:hint="eastAsia" w:ascii="仿宋_GB2312" w:hAnsi="仿宋_GB2312" w:eastAsia="仿宋_GB2312" w:cs="仿宋_GB2312"/>
          <w:sz w:val="32"/>
        </w:rPr>
      </w:pPr>
      <w:r>
        <w:rPr>
          <w:rFonts w:ascii="仿宋_GB2312" w:hAnsi="仿宋_GB2312" w:eastAsia="仿宋_GB2312" w:cs="仿宋_GB2312"/>
          <w:sz w:val="32"/>
        </w:rPr>
        <w:t>（6）卫生健康支出（类）行政事业单位医疗（款）公务员医疗补助（项）15.51万元，主要用于</w:t>
      </w:r>
      <w:r>
        <w:rPr>
          <w:rFonts w:hint="eastAsia" w:ascii="仿宋_GB2312" w:hAnsi="仿宋_GB2312" w:eastAsia="仿宋_GB2312" w:cs="仿宋_GB2312"/>
          <w:sz w:val="32"/>
        </w:rPr>
        <w:t>事业单位人员医疗补助的支出</w:t>
      </w:r>
      <w:r>
        <w:rPr>
          <w:rFonts w:ascii="仿宋_GB2312" w:hAnsi="仿宋_GB2312" w:eastAsia="仿宋_GB2312" w:cs="仿宋_GB2312"/>
          <w:sz w:val="32"/>
        </w:rPr>
        <w:t>。</w:t>
      </w:r>
    </w:p>
    <w:p>
      <w:pPr>
        <w:spacing w:line="600" w:lineRule="exact"/>
        <w:ind w:firstLine="640" w:firstLineChars="200"/>
        <w:rPr>
          <w:rFonts w:hint="eastAsia" w:ascii="仿宋_GB2312" w:hAnsi="仿宋_GB2312" w:eastAsia="仿宋_GB2312" w:cs="仿宋_GB2312"/>
          <w:sz w:val="32"/>
        </w:rPr>
      </w:pPr>
      <w:r>
        <w:rPr>
          <w:rFonts w:ascii="仿宋_GB2312" w:hAnsi="仿宋_GB2312" w:eastAsia="仿宋_GB2312" w:cs="仿宋_GB2312"/>
          <w:sz w:val="32"/>
        </w:rPr>
        <w:t>（7）住房保障支出（类）住房改革支出（款）住房公积金（项）53.23万元，主要用于</w:t>
      </w:r>
      <w:r>
        <w:rPr>
          <w:rFonts w:hint="eastAsia" w:ascii="仿宋_GB2312" w:hAnsi="仿宋_GB2312" w:eastAsia="仿宋_GB2312" w:cs="仿宋_GB2312"/>
          <w:sz w:val="32"/>
        </w:rPr>
        <w:t>事业单位人员的公积金支出</w:t>
      </w:r>
      <w:r>
        <w:rPr>
          <w:rFonts w:ascii="仿宋_GB2312" w:hAnsi="仿宋_GB2312" w:eastAsia="仿宋_GB2312" w:cs="仿宋_GB2312"/>
          <w:sz w:val="32"/>
        </w:rPr>
        <w:t>。</w:t>
      </w:r>
    </w:p>
    <w:p>
      <w:pPr>
        <w:spacing w:line="600" w:lineRule="exact"/>
        <w:ind w:firstLine="640" w:firstLineChars="200"/>
        <w:rPr>
          <w:rFonts w:hint="eastAsia" w:ascii="仿宋_GB2312" w:hAnsi="仿宋_GB2312" w:eastAsia="仿宋_GB2312" w:cs="仿宋_GB2312"/>
          <w:sz w:val="32"/>
        </w:rPr>
      </w:pPr>
      <w:r>
        <w:rPr>
          <w:rFonts w:ascii="仿宋_GB2312" w:hAnsi="仿宋_GB2312" w:eastAsia="仿宋_GB2312" w:cs="仿宋_GB2312"/>
          <w:sz w:val="32"/>
        </w:rPr>
        <w:t>（8）住房保障支出（类）住房改革支出（款）购房补贴（项）11.50万元，主要用于</w:t>
      </w:r>
      <w:r>
        <w:rPr>
          <w:rFonts w:hint="eastAsia" w:ascii="仿宋_GB2312" w:hAnsi="仿宋_GB2312" w:eastAsia="仿宋_GB2312" w:cs="仿宋_GB2312"/>
          <w:sz w:val="32"/>
        </w:rPr>
        <w:t>事业单位人员的购房补助</w:t>
      </w:r>
      <w:r>
        <w:rPr>
          <w:rFonts w:hint="eastAsia" w:ascii="仿宋_GB2312" w:hAnsi="仿宋_GB2312" w:eastAsia="仿宋_GB2312" w:cs="仿宋_GB2312"/>
          <w:sz w:val="32"/>
          <w:lang w:eastAsia="zh-CN"/>
        </w:rPr>
        <w:t>支出</w:t>
      </w:r>
      <w:r>
        <w:rPr>
          <w:rFonts w:ascii="仿宋_GB2312" w:hAnsi="仿宋_GB2312" w:eastAsia="仿宋_GB2312" w:cs="仿宋_GB2312"/>
          <w:sz w:val="32"/>
        </w:rPr>
        <w:t>。</w:t>
      </w:r>
    </w:p>
    <w:p>
      <w:pPr>
        <w:spacing w:line="600" w:lineRule="exact"/>
        <w:ind w:firstLine="640" w:firstLineChars="200"/>
        <w:outlineLvl w:val="1"/>
        <w:rPr>
          <w:rFonts w:hint="eastAsia" w:ascii="仿宋_GB2312" w:eastAsia="仿宋_GB2312"/>
          <w:sz w:val="32"/>
          <w:szCs w:val="32"/>
        </w:rPr>
      </w:pPr>
      <w:r>
        <w:rPr>
          <w:rFonts w:hint="eastAsia" w:ascii="楷体" w:hAnsi="楷体" w:eastAsia="楷体" w:cs="楷体"/>
          <w:b w:val="0"/>
          <w:bCs/>
          <w:kern w:val="2"/>
          <w:sz w:val="32"/>
          <w:lang w:val="en-US" w:eastAsia="zh-CN" w:bidi="ar-SA"/>
        </w:rPr>
        <w:t>（六）一般公共预算基本支出情况说明</w:t>
      </w:r>
    </w:p>
    <w:p>
      <w:pPr>
        <w:spacing w:line="600" w:lineRule="exact"/>
        <w:ind w:firstLine="640" w:firstLineChars="200"/>
        <w:rPr>
          <w:rFonts w:hint="eastAsia" w:ascii="仿宋_GB2312" w:eastAsia="仿宋_GB2312"/>
          <w:sz w:val="32"/>
          <w:szCs w:val="32"/>
        </w:rPr>
      </w:pPr>
      <w:r>
        <w:rPr>
          <w:rFonts w:ascii="仿宋_GB2312" w:hAnsi="仿宋_GB2312" w:eastAsia="仿宋_GB2312" w:cs="仿宋_GB2312"/>
          <w:sz w:val="32"/>
        </w:rPr>
        <w:t>温州市妇女儿童活动中心2023年一般公共预算基本支出731.79万元，其中：</w:t>
      </w:r>
    </w:p>
    <w:p>
      <w:pPr>
        <w:spacing w:line="600" w:lineRule="exact"/>
        <w:ind w:firstLine="640" w:firstLineChars="200"/>
        <w:rPr>
          <w:rFonts w:hint="eastAsia" w:ascii="仿宋_GB2312" w:eastAsia="仿宋_GB2312"/>
          <w:sz w:val="32"/>
          <w:szCs w:val="32"/>
        </w:rPr>
      </w:pPr>
      <w:r>
        <w:rPr>
          <w:rFonts w:ascii="仿宋_GB2312" w:hAnsi="仿宋_GB2312" w:eastAsia="仿宋_GB2312" w:cs="仿宋_GB2312"/>
          <w:sz w:val="32"/>
        </w:rPr>
        <w:t>人员经费668.88万元，主要包括：基本工资、津贴补贴、奖金、绩效工资、机关事业单位基本养老保险缴费、职业年金缴费、职工基本医疗保险缴费、公务员医疗补助缴费、其他社会保障缴费、住房公积金、其他工资福利支出、其他商品和服务支出、生活补助、其他对个人和家庭的补助；</w:t>
      </w:r>
    </w:p>
    <w:p>
      <w:pPr>
        <w:spacing w:line="600" w:lineRule="exact"/>
        <w:ind w:firstLine="640" w:firstLineChars="200"/>
        <w:rPr>
          <w:rFonts w:hint="eastAsia" w:ascii="仿宋_GB2312" w:eastAsia="仿宋_GB2312"/>
          <w:sz w:val="32"/>
          <w:szCs w:val="32"/>
        </w:rPr>
      </w:pPr>
      <w:r>
        <w:rPr>
          <w:rFonts w:ascii="仿宋_GB2312" w:hAnsi="仿宋_GB2312" w:eastAsia="仿宋_GB2312" w:cs="仿宋_GB2312"/>
          <w:sz w:val="32"/>
        </w:rPr>
        <w:t>公用经费62.91万元，主要包括：其他工资福利支出、办公费、印刷费、咨询费、手续费、邮电费、差旅费、维修(护)费、培训费、公务接待费、专用材料费、劳务费、委托业务费、工会经费、福利费、其他商品和服务支出。</w:t>
      </w:r>
    </w:p>
    <w:p>
      <w:pPr>
        <w:spacing w:line="600" w:lineRule="exact"/>
        <w:ind w:firstLine="640" w:firstLineChars="200"/>
        <w:outlineLvl w:val="1"/>
        <w:rPr>
          <w:rFonts w:hint="eastAsia" w:ascii="仿宋_GB2312" w:eastAsia="仿宋_GB2312"/>
          <w:sz w:val="32"/>
          <w:szCs w:val="32"/>
        </w:rPr>
      </w:pPr>
      <w:r>
        <w:rPr>
          <w:rFonts w:hint="eastAsia" w:ascii="楷体" w:hAnsi="楷体" w:eastAsia="楷体" w:cs="楷体"/>
          <w:b w:val="0"/>
          <w:bCs/>
          <w:kern w:val="2"/>
          <w:sz w:val="32"/>
          <w:lang w:val="en-US" w:eastAsia="zh-CN" w:bidi="ar-SA"/>
        </w:rPr>
        <w:t>（七）政府性基金预算支出情况说明</w:t>
      </w:r>
    </w:p>
    <w:p>
      <w:pPr>
        <w:spacing w:line="600" w:lineRule="exact"/>
        <w:ind w:firstLine="640" w:firstLineChars="200"/>
        <w:rPr>
          <w:rFonts w:hint="eastAsia" w:ascii="仿宋_GB2312" w:eastAsia="仿宋_GB2312"/>
          <w:sz w:val="32"/>
          <w:szCs w:val="32"/>
        </w:rPr>
      </w:pPr>
      <w:r>
        <w:rPr>
          <w:rFonts w:ascii="仿宋_GB2312" w:hAnsi="仿宋_GB2312" w:eastAsia="仿宋_GB2312" w:cs="仿宋_GB2312"/>
          <w:sz w:val="32"/>
        </w:rPr>
        <w:t>温州市妇女儿童活动中心2023年没有使用政府性基金预算安排的支出。</w:t>
      </w:r>
    </w:p>
    <w:p>
      <w:pPr>
        <w:spacing w:line="600" w:lineRule="exact"/>
        <w:ind w:firstLine="640" w:firstLineChars="200"/>
        <w:outlineLvl w:val="1"/>
        <w:rPr>
          <w:rFonts w:hint="eastAsia" w:ascii="仿宋_GB2312" w:eastAsia="仿宋_GB2312"/>
          <w:sz w:val="32"/>
          <w:szCs w:val="32"/>
        </w:rPr>
      </w:pPr>
      <w:r>
        <w:rPr>
          <w:rFonts w:hint="eastAsia" w:ascii="楷体" w:hAnsi="楷体" w:eastAsia="楷体" w:cs="楷体"/>
          <w:b w:val="0"/>
          <w:bCs/>
          <w:kern w:val="2"/>
          <w:sz w:val="32"/>
          <w:lang w:val="en-US" w:eastAsia="zh-CN" w:bidi="ar-SA"/>
        </w:rPr>
        <w:t>（八）国有资本经营预算支出情况说明</w:t>
      </w:r>
    </w:p>
    <w:p>
      <w:pPr>
        <w:spacing w:line="600" w:lineRule="exact"/>
        <w:ind w:firstLine="640" w:firstLineChars="200"/>
        <w:rPr>
          <w:rFonts w:hint="eastAsia" w:ascii="仿宋_GB2312" w:eastAsia="仿宋_GB2312"/>
          <w:sz w:val="32"/>
          <w:szCs w:val="32"/>
        </w:rPr>
      </w:pPr>
      <w:r>
        <w:rPr>
          <w:rFonts w:ascii="仿宋_GB2312" w:hAnsi="仿宋_GB2312" w:eastAsia="仿宋_GB2312" w:cs="仿宋_GB2312"/>
          <w:sz w:val="32"/>
        </w:rPr>
        <w:t>温州市妇女儿童活动中心2023年没有使用国有资本经营预算拨款安排的支出。</w:t>
      </w:r>
    </w:p>
    <w:p>
      <w:pPr>
        <w:spacing w:line="600" w:lineRule="exact"/>
        <w:ind w:firstLine="640" w:firstLineChars="200"/>
        <w:outlineLvl w:val="1"/>
        <w:rPr>
          <w:rFonts w:hint="eastAsia" w:ascii="仿宋_GB2312" w:eastAsia="仿宋_GB2312"/>
          <w:sz w:val="32"/>
          <w:szCs w:val="32"/>
        </w:rPr>
      </w:pPr>
      <w:r>
        <w:rPr>
          <w:rFonts w:hint="eastAsia" w:ascii="楷体" w:hAnsi="楷体" w:eastAsia="楷体" w:cs="楷体"/>
          <w:b w:val="0"/>
          <w:bCs/>
          <w:kern w:val="2"/>
          <w:sz w:val="32"/>
          <w:lang w:val="en-US" w:eastAsia="zh-CN" w:bidi="ar-SA"/>
        </w:rPr>
        <w:t>（九）一般公共预算“三公”经费预算情况说明</w:t>
      </w:r>
    </w:p>
    <w:p>
      <w:pPr>
        <w:spacing w:line="600" w:lineRule="exact"/>
        <w:ind w:firstLine="640" w:firstLineChars="200"/>
        <w:rPr>
          <w:rFonts w:hint="eastAsia" w:ascii="仿宋_GB2312" w:eastAsia="仿宋_GB2312"/>
          <w:sz w:val="32"/>
          <w:szCs w:val="32"/>
        </w:rPr>
      </w:pPr>
      <w:r>
        <w:rPr>
          <w:rFonts w:ascii="仿宋_GB2312" w:hAnsi="仿宋_GB2312" w:eastAsia="仿宋_GB2312" w:cs="仿宋_GB2312"/>
          <w:sz w:val="32"/>
        </w:rPr>
        <w:t>温州市妇女儿童活动中心2023年“三公”经费预算（不含因公出国（境）经费）金额为0.90万元，比上年预算数减少0.05万元，下降5.3%，具体如下：</w:t>
      </w:r>
    </w:p>
    <w:p>
      <w:pPr>
        <w:spacing w:line="600" w:lineRule="exact"/>
        <w:ind w:firstLine="640" w:firstLineChars="200"/>
        <w:rPr>
          <w:rFonts w:hint="eastAsia" w:ascii="仿宋_GB2312" w:eastAsia="仿宋_GB2312"/>
          <w:sz w:val="32"/>
          <w:szCs w:val="32"/>
        </w:rPr>
      </w:pPr>
      <w:r>
        <w:rPr>
          <w:rFonts w:ascii="仿宋_GB2312" w:hAnsi="仿宋_GB2312" w:eastAsia="仿宋_GB2312" w:cs="仿宋_GB2312"/>
          <w:sz w:val="32"/>
        </w:rPr>
        <w:t>1.因公出国（境）费用：根据《温州市财政局关于明确因公出国（境）经费审批意见的通知》（温财外[2018]41号）文件精神，2023年因公出国（境）经费实行归口管理，由市财政统筹安排，不再单独安排预算进行公开;温州市妇女儿童活动中心2022年因公出国（境）经费预算经核定为0万元。</w:t>
      </w:r>
    </w:p>
    <w:p>
      <w:pPr>
        <w:spacing w:line="600" w:lineRule="exact"/>
        <w:ind w:firstLine="640" w:firstLineChars="200"/>
        <w:rPr>
          <w:rFonts w:hint="eastAsia" w:ascii="仿宋_GB2312" w:eastAsia="仿宋_GB2312"/>
          <w:sz w:val="32"/>
          <w:szCs w:val="32"/>
        </w:rPr>
      </w:pPr>
      <w:r>
        <w:rPr>
          <w:rFonts w:ascii="仿宋_GB2312" w:hAnsi="仿宋_GB2312" w:eastAsia="仿宋_GB2312" w:cs="仿宋_GB2312"/>
          <w:sz w:val="32"/>
        </w:rPr>
        <w:t>2.公务接待费：2023年安排公务接待费预算0.90万元，比上年预算数下降5.3%。主要用于</w:t>
      </w:r>
      <w:r>
        <w:rPr>
          <w:rFonts w:hint="eastAsia" w:ascii="仿宋_GB2312" w:eastAsia="仿宋_GB2312"/>
          <w:sz w:val="32"/>
          <w:szCs w:val="32"/>
        </w:rPr>
        <w:t>上级单位来温考察接待支出</w:t>
      </w:r>
      <w:r>
        <w:rPr>
          <w:rFonts w:ascii="仿宋_GB2312" w:hAnsi="仿宋_GB2312" w:eastAsia="仿宋_GB2312" w:cs="仿宋_GB2312"/>
          <w:sz w:val="32"/>
        </w:rPr>
        <w:t>。减少的主要原因是</w:t>
      </w:r>
      <w:r>
        <w:rPr>
          <w:rFonts w:hint="eastAsia" w:ascii="仿宋_GB2312" w:hAnsi="仿宋_GB2312" w:eastAsia="仿宋_GB2312" w:cs="仿宋_GB2312"/>
          <w:sz w:val="32"/>
          <w:lang w:eastAsia="zh-CN"/>
        </w:rPr>
        <w:t>财政要求进一步压缩经费支出</w:t>
      </w:r>
      <w:r>
        <w:rPr>
          <w:rFonts w:ascii="仿宋_GB2312" w:hAnsi="仿宋_GB2312" w:eastAsia="仿宋_GB2312" w:cs="仿宋_GB2312"/>
          <w:sz w:val="32"/>
        </w:rPr>
        <w:t>。</w:t>
      </w:r>
    </w:p>
    <w:p>
      <w:pPr>
        <w:spacing w:line="600" w:lineRule="exact"/>
        <w:ind w:firstLine="640" w:firstLineChars="200"/>
        <w:rPr>
          <w:rFonts w:hint="eastAsia" w:ascii="仿宋_GB2312" w:eastAsia="仿宋_GB2312"/>
          <w:sz w:val="32"/>
          <w:szCs w:val="32"/>
        </w:rPr>
      </w:pPr>
      <w:r>
        <w:rPr>
          <w:rFonts w:ascii="仿宋_GB2312" w:hAnsi="仿宋_GB2312" w:eastAsia="仿宋_GB2312" w:cs="仿宋_GB2312"/>
          <w:sz w:val="32"/>
        </w:rPr>
        <w:t>3.公务用车购置及运行维护费：2023年安排公务用车购置及运行维护费预算0万元，与上年预算数持平。其中，公务用车购置支出0万元（含购置税等附加费用），与上年预算数持平，主要用于经批准购置的0辆公务用车；公务用车运行维护费支出0万元，与上年预算数持平，主要用于公务用车燃料费、维修费、过桥过路费、保险费、安全奖励费用等支出。</w:t>
      </w:r>
    </w:p>
    <w:p>
      <w:pPr>
        <w:spacing w:line="600" w:lineRule="exact"/>
        <w:ind w:firstLine="640" w:firstLineChars="200"/>
        <w:outlineLvl w:val="1"/>
        <w:rPr>
          <w:rFonts w:hint="eastAsia" w:ascii="仿宋_GB2312" w:eastAsia="仿宋_GB2312"/>
          <w:sz w:val="32"/>
          <w:szCs w:val="32"/>
        </w:rPr>
      </w:pPr>
      <w:r>
        <w:rPr>
          <w:rFonts w:hint="eastAsia" w:ascii="楷体" w:hAnsi="楷体" w:eastAsia="楷体" w:cs="楷体"/>
          <w:b w:val="0"/>
          <w:bCs/>
          <w:kern w:val="2"/>
          <w:sz w:val="32"/>
          <w:lang w:val="en-US" w:eastAsia="zh-CN" w:bidi="ar-SA"/>
        </w:rPr>
        <w:t>（十）其他重要事项的情况说明</w:t>
      </w:r>
    </w:p>
    <w:p>
      <w:pPr>
        <w:spacing w:line="600" w:lineRule="exact"/>
        <w:ind w:firstLine="640" w:firstLineChars="200"/>
        <w:outlineLvl w:val="1"/>
        <w:rPr>
          <w:rFonts w:hint="eastAsia" w:ascii="仿宋_GB2312" w:eastAsia="仿宋_GB2312"/>
          <w:sz w:val="32"/>
          <w:szCs w:val="32"/>
        </w:rPr>
      </w:pPr>
      <w:r>
        <w:rPr>
          <w:rFonts w:hint="eastAsia" w:ascii="楷体" w:hAnsi="楷体" w:eastAsia="楷体" w:cs="楷体"/>
          <w:b w:val="0"/>
          <w:bCs/>
          <w:kern w:val="2"/>
          <w:sz w:val="32"/>
          <w:lang w:val="en-US" w:eastAsia="zh-CN" w:bidi="ar-SA"/>
        </w:rPr>
        <w:t>1.机关运行经费。</w:t>
      </w:r>
    </w:p>
    <w:p>
      <w:pPr>
        <w:spacing w:line="600" w:lineRule="exact"/>
        <w:ind w:firstLine="640" w:firstLineChars="200"/>
        <w:rPr>
          <w:rFonts w:hint="eastAsia" w:ascii="仿宋_GB2312" w:eastAsia="仿宋_GB2312"/>
          <w:sz w:val="32"/>
          <w:szCs w:val="32"/>
        </w:rPr>
      </w:pPr>
      <w:r>
        <w:rPr>
          <w:rFonts w:ascii="仿宋_GB2312" w:hAnsi="仿宋_GB2312" w:eastAsia="仿宋_GB2312" w:cs="仿宋_GB2312"/>
          <w:sz w:val="32"/>
        </w:rPr>
        <w:t>温州市妇女儿童活动中心为事业单位，无机关运行经费。</w:t>
      </w:r>
    </w:p>
    <w:p>
      <w:pPr>
        <w:spacing w:line="600" w:lineRule="exact"/>
        <w:ind w:firstLine="640" w:firstLineChars="200"/>
        <w:outlineLvl w:val="1"/>
        <w:rPr>
          <w:rFonts w:hint="eastAsia" w:ascii="仿宋_GB2312" w:eastAsia="仿宋_GB2312"/>
          <w:sz w:val="32"/>
          <w:szCs w:val="32"/>
        </w:rPr>
      </w:pPr>
      <w:r>
        <w:rPr>
          <w:rFonts w:hint="eastAsia" w:ascii="楷体" w:hAnsi="楷体" w:eastAsia="楷体" w:cs="楷体"/>
          <w:b w:val="0"/>
          <w:bCs/>
          <w:kern w:val="2"/>
          <w:sz w:val="32"/>
          <w:lang w:val="en-US" w:eastAsia="zh-CN" w:bidi="ar-SA"/>
        </w:rPr>
        <w:t>2.政府采购情况。</w:t>
      </w:r>
    </w:p>
    <w:p>
      <w:pPr>
        <w:spacing w:line="600" w:lineRule="exact"/>
        <w:ind w:firstLine="640" w:firstLineChars="200"/>
        <w:rPr>
          <w:rFonts w:ascii="仿宋_GB2312" w:hAnsi="仿宋_GB2312" w:eastAsia="仿宋_GB2312" w:cs="仿宋_GB2312"/>
          <w:sz w:val="32"/>
        </w:rPr>
      </w:pPr>
      <w:r>
        <w:rPr>
          <w:rFonts w:ascii="仿宋_GB2312" w:hAnsi="仿宋_GB2312" w:eastAsia="仿宋_GB2312" w:cs="仿宋_GB2312"/>
          <w:sz w:val="32"/>
        </w:rPr>
        <w:t>2023年温州市妇女儿童活动中心所属各预算单位政府采购预算总额</w:t>
      </w:r>
      <w:r>
        <w:rPr>
          <w:rFonts w:hint="eastAsia" w:ascii="仿宋_GB2312" w:hAnsi="仿宋_GB2312" w:eastAsia="仿宋_GB2312" w:cs="仿宋_GB2312"/>
          <w:sz w:val="32"/>
          <w:lang w:val="en-US" w:eastAsia="zh-CN"/>
        </w:rPr>
        <w:t>298.7</w:t>
      </w:r>
      <w:r>
        <w:rPr>
          <w:rFonts w:ascii="仿宋_GB2312" w:hAnsi="仿宋_GB2312" w:eastAsia="仿宋_GB2312" w:cs="仿宋_GB2312"/>
          <w:sz w:val="32"/>
        </w:rPr>
        <w:t>万元，其中：政府采购货物预算</w:t>
      </w:r>
      <w:r>
        <w:rPr>
          <w:rFonts w:hint="eastAsia" w:ascii="仿宋_GB2312" w:hAnsi="仿宋_GB2312" w:eastAsia="仿宋_GB2312" w:cs="仿宋_GB2312"/>
          <w:sz w:val="32"/>
          <w:lang w:val="en-US" w:eastAsia="zh-CN"/>
        </w:rPr>
        <w:t>2.7</w:t>
      </w:r>
      <w:r>
        <w:rPr>
          <w:rFonts w:ascii="仿宋_GB2312" w:hAnsi="仿宋_GB2312" w:eastAsia="仿宋_GB2312" w:cs="仿宋_GB2312"/>
          <w:sz w:val="32"/>
        </w:rPr>
        <w:t>万元、政府采购工程预算0万元、政府采购服务预算</w:t>
      </w:r>
      <w:r>
        <w:rPr>
          <w:rFonts w:hint="eastAsia" w:ascii="仿宋_GB2312" w:hAnsi="仿宋_GB2312" w:eastAsia="仿宋_GB2312" w:cs="仿宋_GB2312"/>
          <w:sz w:val="32"/>
          <w:lang w:val="en-US" w:eastAsia="zh-CN"/>
        </w:rPr>
        <w:t>296</w:t>
      </w:r>
      <w:r>
        <w:rPr>
          <w:rFonts w:ascii="仿宋_GB2312" w:hAnsi="仿宋_GB2312" w:eastAsia="仿宋_GB2312" w:cs="仿宋_GB2312"/>
          <w:sz w:val="32"/>
        </w:rPr>
        <w:t>万元。</w:t>
      </w:r>
    </w:p>
    <w:p>
      <w:pPr>
        <w:spacing w:line="600" w:lineRule="exact"/>
        <w:ind w:firstLine="640" w:firstLineChars="200"/>
        <w:outlineLvl w:val="1"/>
        <w:rPr>
          <w:rFonts w:hint="eastAsia" w:ascii="仿宋_GB2312" w:eastAsia="仿宋_GB2312"/>
          <w:sz w:val="32"/>
          <w:szCs w:val="32"/>
        </w:rPr>
      </w:pPr>
      <w:r>
        <w:rPr>
          <w:rFonts w:hint="eastAsia" w:ascii="楷体" w:hAnsi="楷体" w:eastAsia="楷体" w:cs="楷体"/>
          <w:b w:val="0"/>
          <w:bCs/>
          <w:kern w:val="2"/>
          <w:sz w:val="32"/>
          <w:lang w:val="en-US" w:eastAsia="zh-CN" w:bidi="ar-SA"/>
        </w:rPr>
        <w:t>3.国有资产占有使用情况。</w:t>
      </w:r>
    </w:p>
    <w:p>
      <w:pPr>
        <w:spacing w:line="600" w:lineRule="exact"/>
        <w:ind w:firstLine="640" w:firstLineChars="200"/>
        <w:rPr>
          <w:rFonts w:hint="eastAsia" w:ascii="仿宋_GB2312" w:eastAsia="仿宋_GB2312"/>
          <w:sz w:val="32"/>
          <w:szCs w:val="32"/>
        </w:rPr>
      </w:pPr>
      <w:r>
        <w:rPr>
          <w:rFonts w:ascii="仿宋_GB2312" w:hAnsi="仿宋_GB2312" w:eastAsia="仿宋_GB2312" w:cs="仿宋_GB2312"/>
          <w:sz w:val="32"/>
        </w:rPr>
        <w:t>截至2022年12月31日，温州市妇女儿童活动中心所属各预算单位共有车辆0辆，其中，市级领导用车0辆、机要通信用车及应急保障用车0辆、执法执勤用车0辆、特种专业技术用车0辆、老干部服务用车0辆、行政执法专用车0辆、其他用车0辆。单位价值50万元以上通用设备0台（套），单位价值100万元以上专用设备0台（套）。</w:t>
      </w:r>
    </w:p>
    <w:p>
      <w:pPr>
        <w:spacing w:line="600" w:lineRule="exact"/>
        <w:ind w:firstLine="640" w:firstLineChars="200"/>
        <w:rPr>
          <w:rFonts w:hint="eastAsia" w:ascii="仿宋_GB2312" w:eastAsia="仿宋_GB2312"/>
          <w:sz w:val="32"/>
          <w:szCs w:val="32"/>
        </w:rPr>
      </w:pPr>
      <w:r>
        <w:rPr>
          <w:rFonts w:ascii="仿宋_GB2312" w:hAnsi="仿宋_GB2312" w:eastAsia="仿宋_GB2312" w:cs="仿宋_GB2312"/>
          <w:sz w:val="32"/>
        </w:rPr>
        <w:t>2023年部门预算安排购置车辆0辆，其中，市级领导用车0辆、机要通信用车及应急保障用车0辆、执法执勤用车0辆、特种专业技术用车0辆、老干部服务用车0辆、行政执法专用车0辆、其他用车0辆。2023年部门预算未安排购置车辆、单位价值50万元以上通用设备及单位价值100万元以上专用设备。</w:t>
      </w:r>
    </w:p>
    <w:p>
      <w:pPr>
        <w:spacing w:line="600" w:lineRule="exact"/>
        <w:ind w:firstLine="640" w:firstLineChars="200"/>
        <w:outlineLvl w:val="1"/>
        <w:rPr>
          <w:rFonts w:hint="eastAsia" w:ascii="仿宋_GB2312" w:eastAsia="仿宋_GB2312"/>
          <w:sz w:val="32"/>
          <w:szCs w:val="32"/>
        </w:rPr>
      </w:pPr>
      <w:r>
        <w:rPr>
          <w:rFonts w:hint="eastAsia" w:ascii="楷体" w:hAnsi="楷体" w:eastAsia="楷体" w:cs="楷体"/>
          <w:b w:val="0"/>
          <w:bCs/>
          <w:kern w:val="2"/>
          <w:sz w:val="32"/>
          <w:lang w:val="en-US" w:eastAsia="zh-CN" w:bidi="ar-SA"/>
        </w:rPr>
        <w:t>4.预算绩效情况说明。</w:t>
      </w:r>
      <w:bookmarkEnd w:id="12"/>
      <w:bookmarkEnd w:id="13"/>
    </w:p>
    <w:p>
      <w:pPr>
        <w:spacing w:line="600" w:lineRule="exact"/>
        <w:ind w:firstLine="640" w:firstLineChars="200"/>
        <w:rPr>
          <w:rFonts w:hint="eastAsia" w:ascii="仿宋_GB2312" w:eastAsia="仿宋_GB2312"/>
          <w:sz w:val="32"/>
          <w:szCs w:val="32"/>
        </w:rPr>
      </w:pPr>
      <w:r>
        <w:rPr>
          <w:rFonts w:ascii="仿宋_GB2312" w:hAnsi="仿宋_GB2312" w:eastAsia="仿宋_GB2312" w:cs="仿宋_GB2312"/>
          <w:sz w:val="32"/>
        </w:rPr>
        <w:t>2023年温州市妇女儿童活动中心其他运转类项目和特定目标类项目均实行绩效目标管理，涉及一般公共预算当年拨款148.80万元；一级项目2个。</w:t>
      </w:r>
    </w:p>
    <w:p>
      <w:pPr>
        <w:pStyle w:val="3"/>
        <w:adjustRightInd w:val="0"/>
        <w:snapToGrid w:val="0"/>
        <w:spacing w:before="0" w:after="0"/>
        <w:ind w:firstLine="643"/>
        <w:rPr>
          <w:b w:val="0"/>
          <w:bCs/>
        </w:rPr>
      </w:pPr>
      <w:bookmarkStart w:id="14" w:name="_Toc14184"/>
      <w:bookmarkStart w:id="15" w:name="_Toc14264"/>
      <w:bookmarkStart w:id="16" w:name="_Toc3807"/>
      <w:r>
        <w:rPr>
          <w:rFonts w:hint="eastAsia"/>
          <w:b w:val="0"/>
          <w:bCs/>
        </w:rPr>
        <w:t>三、名词解释</w:t>
      </w:r>
      <w:bookmarkEnd w:id="14"/>
      <w:bookmarkEnd w:id="15"/>
      <w:bookmarkEnd w:id="16"/>
    </w:p>
    <w:p>
      <w:pPr>
        <w:adjustRightInd w:val="0"/>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1、财政拨款收入</w:t>
      </w:r>
      <w:r>
        <w:rPr>
          <w:rFonts w:ascii="仿宋_GB2312" w:hAnsi="仿宋_GB2312" w:eastAsia="仿宋_GB2312" w:cs="仿宋_GB2312"/>
          <w:sz w:val="32"/>
        </w:rPr>
        <w:t>：本级财政部门当年拨付的财政预算资金，包括一般公共预算财政拨款和政府性基金预算财政拨款。</w:t>
      </w:r>
    </w:p>
    <w:p>
      <w:pPr>
        <w:adjustRightInd w:val="0"/>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2、专户资金</w:t>
      </w:r>
      <w:r>
        <w:rPr>
          <w:rFonts w:ascii="仿宋_GB2312" w:hAnsi="仿宋_GB2312" w:eastAsia="仿宋_GB2312" w:cs="仿宋_GB2312"/>
          <w:sz w:val="32"/>
        </w:rPr>
        <w:t>：教育收费作为本部门的事业收入，纳入财政专户管理的资金。</w:t>
      </w:r>
    </w:p>
    <w:p>
      <w:pPr>
        <w:adjustRightInd w:val="0"/>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3、事业收入</w:t>
      </w:r>
      <w:r>
        <w:rPr>
          <w:rFonts w:ascii="仿宋_GB2312" w:hAnsi="仿宋_GB2312" w:eastAsia="仿宋_GB2312" w:cs="仿宋_GB2312"/>
          <w:sz w:val="32"/>
        </w:rPr>
        <w:t>：事业单位开展专业业务活动及辅助活动所取得的收入，不含专户资金收入。</w:t>
      </w:r>
    </w:p>
    <w:p>
      <w:pPr>
        <w:adjustRightInd w:val="0"/>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4、事业单位经营收入</w:t>
      </w:r>
      <w:r>
        <w:rPr>
          <w:rFonts w:ascii="仿宋_GB2312" w:hAnsi="仿宋_GB2312" w:eastAsia="仿宋_GB2312" w:cs="仿宋_GB2312"/>
          <w:sz w:val="32"/>
        </w:rPr>
        <w:t>：事业单位在专业业务活动及辅助活动之外开展非独立核算经营活动取得的收入。</w:t>
      </w:r>
    </w:p>
    <w:p>
      <w:pPr>
        <w:adjustRightInd w:val="0"/>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5、其他收入</w:t>
      </w:r>
      <w:r>
        <w:rPr>
          <w:rFonts w:ascii="仿宋_GB2312" w:hAnsi="仿宋_GB2312" w:eastAsia="仿宋_GB2312" w:cs="仿宋_GB2312"/>
          <w:sz w:val="32"/>
        </w:rPr>
        <w:t>：预算单位在“一般公共预算”“政府性基金”“专户资金”“事业收入”“事业单位经营收入”等之外取得的各项收入（含上级补助收入和附属单位缴款等收入）。</w:t>
      </w:r>
    </w:p>
    <w:p>
      <w:pPr>
        <w:adjustRightInd w:val="0"/>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6、用事业基金弥补收支差额</w:t>
      </w:r>
      <w:r>
        <w:rPr>
          <w:rFonts w:ascii="仿宋_GB2312" w:hAnsi="仿宋_GB2312" w:eastAsia="仿宋_GB2312" w:cs="仿宋_GB2312"/>
          <w:sz w:val="32"/>
        </w:rPr>
        <w:t>：指事业单位在预计用当年的“财政拨款收入”“专户资金”“事业收入”“事业单位经营收入”“其他收入”“上年结转”等不足以安排当年支出的情况下，使用以前年度积累的事业基金弥补本年收支缺口的资金。</w:t>
      </w:r>
    </w:p>
    <w:p>
      <w:pPr>
        <w:adjustRightInd w:val="0"/>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7、上年结转</w:t>
      </w:r>
      <w:r>
        <w:rPr>
          <w:rFonts w:ascii="仿宋_GB2312" w:hAnsi="仿宋_GB2312" w:eastAsia="仿宋_GB2312" w:cs="仿宋_GB2312"/>
          <w:sz w:val="32"/>
        </w:rPr>
        <w:t>：指以前年度尚未完成、结转到本年仍按原规定用途继续使用的资金。</w:t>
      </w:r>
    </w:p>
    <w:p>
      <w:pPr>
        <w:adjustRightInd w:val="0"/>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8、基本支出</w:t>
      </w:r>
      <w:r>
        <w:rPr>
          <w:rFonts w:ascii="仿宋_GB2312" w:hAnsi="仿宋_GB2312" w:eastAsia="仿宋_GB2312" w:cs="仿宋_GB2312"/>
          <w:sz w:val="32"/>
        </w:rPr>
        <w:t>：是预算单位为保障其正常运转，完成日常工作任务所发生的支出，包括人员支出和日常公用支出。</w:t>
      </w:r>
    </w:p>
    <w:p>
      <w:pPr>
        <w:adjustRightInd w:val="0"/>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9、项目支出</w:t>
      </w:r>
      <w:r>
        <w:rPr>
          <w:rFonts w:ascii="仿宋_GB2312" w:hAnsi="仿宋_GB2312" w:eastAsia="仿宋_GB2312" w:cs="仿宋_GB2312"/>
          <w:sz w:val="32"/>
        </w:rPr>
        <w:t>：是预算单位为完成其特定的行政工作任务或事业发展目标所发生的支出。</w:t>
      </w:r>
    </w:p>
    <w:p>
      <w:pPr>
        <w:adjustRightInd w:val="0"/>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10、经营支出</w:t>
      </w:r>
      <w:r>
        <w:rPr>
          <w:rFonts w:ascii="仿宋_GB2312" w:hAnsi="仿宋_GB2312" w:eastAsia="仿宋_GB2312" w:cs="仿宋_GB2312"/>
          <w:sz w:val="32"/>
        </w:rPr>
        <w:t>：指事业单位在专业业务活动及其辅助活动之外开展非独立核算经营活动发生的支出。</w:t>
      </w:r>
    </w:p>
    <w:p>
      <w:pPr>
        <w:adjustRightInd w:val="0"/>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11、“三公”经费</w:t>
      </w:r>
      <w:r>
        <w:rPr>
          <w:rFonts w:ascii="仿宋_GB2312" w:hAnsi="仿宋_GB2312" w:eastAsia="仿宋_GB2312" w:cs="仿宋_GB2312"/>
          <w:sz w:val="32"/>
        </w:rPr>
        <w:t>：纳入财政预决算管理的“三公”经费，是指部门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料费、维修费、过桥过路费、保险费、安全奖励费用等支出；公务接待费反映单位按规定开支的各类公务接待（含外宾接待）支出。</w:t>
      </w:r>
    </w:p>
    <w:p>
      <w:pPr>
        <w:adjustRightInd w:val="0"/>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12、机关运行经费</w:t>
      </w:r>
      <w:r>
        <w:rPr>
          <w:rFonts w:ascii="仿宋_GB2312" w:hAnsi="仿宋_GB2312" w:eastAsia="仿宋_GB2312" w:cs="仿宋_GB2312"/>
          <w:sz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13.一般公共服务支出(类)群众团体事务(款)事业运行(项)</w:t>
      </w:r>
      <w:r>
        <w:rPr>
          <w:rFonts w:ascii="仿宋_GB2312" w:hAnsi="仿宋_GB2312" w:eastAsia="仿宋_GB2312" w:cs="仿宋_GB2312"/>
          <w:sz w:val="32"/>
        </w:rPr>
        <w:t>：反映事业单位的基本支出，不包括行政单位（包括实行公务员管理的事业单位）后勤服务中心、医务室等附属事业单位。</w:t>
      </w:r>
    </w:p>
    <w:p>
      <w:pPr>
        <w:adjustRightInd w:val="0"/>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14.一般公共服务支出(类)群众团体事务(款)其他群众团体事务支出(项)</w:t>
      </w:r>
      <w:r>
        <w:rPr>
          <w:rFonts w:ascii="仿宋_GB2312" w:hAnsi="仿宋_GB2312" w:eastAsia="仿宋_GB2312" w:cs="仿宋_GB2312"/>
          <w:sz w:val="32"/>
        </w:rPr>
        <w:t>：反映除上述项目以外其他用于群众团体事务方面的支出。</w:t>
      </w:r>
    </w:p>
    <w:p>
      <w:pPr>
        <w:adjustRightInd w:val="0"/>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15.社会保障和就业支出(类)行政事业单位养老支出(款)机关事业单位基本养老保险缴费支出(项)</w:t>
      </w:r>
      <w:r>
        <w:rPr>
          <w:rFonts w:ascii="仿宋_GB2312" w:hAnsi="仿宋_GB2312" w:eastAsia="仿宋_GB2312" w:cs="仿宋_GB2312"/>
          <w:sz w:val="32"/>
        </w:rPr>
        <w:t>：反映机关事业单位实施养老保险制度由单位缴纳的基本养老保险费支出。</w:t>
      </w:r>
    </w:p>
    <w:p>
      <w:pPr>
        <w:adjustRightInd w:val="0"/>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16.社会保障和就业支出(类)行政事业单位养老支出(款)机关事业单位职业年金缴费支出(项)</w:t>
      </w:r>
      <w:r>
        <w:rPr>
          <w:rFonts w:ascii="仿宋_GB2312" w:hAnsi="仿宋_GB2312" w:eastAsia="仿宋_GB2312" w:cs="仿宋_GB2312"/>
          <w:sz w:val="32"/>
        </w:rPr>
        <w:t>：反映机关事业单位实施养老保险制度由单位实际缴纳的职业年金支出。</w:t>
      </w:r>
    </w:p>
    <w:p>
      <w:pPr>
        <w:adjustRightInd w:val="0"/>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17.卫生健康支出(类)行政事业单位医疗(款)事业单位医疗(项)</w:t>
      </w:r>
      <w:r>
        <w:rPr>
          <w:rFonts w:ascii="仿宋_GB2312" w:hAnsi="仿宋_GB2312" w:eastAsia="仿宋_GB2312" w:cs="仿宋_GB2312"/>
          <w:sz w:val="32"/>
        </w:rPr>
        <w:t>：反映财政部门安排的事业单位基本医疗保险缴费经费，未参加医疗保险的事业单位的公费医疗经费，按国家规定享受离休人员待遇的医疗经费。</w:t>
      </w:r>
    </w:p>
    <w:p>
      <w:pPr>
        <w:adjustRightInd w:val="0"/>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18.卫生健康支出(类)行政事业单位医疗(款)公务员医疗补助(项)</w:t>
      </w:r>
      <w:r>
        <w:rPr>
          <w:rFonts w:ascii="仿宋_GB2312" w:hAnsi="仿宋_GB2312" w:eastAsia="仿宋_GB2312" w:cs="仿宋_GB2312"/>
          <w:sz w:val="32"/>
        </w:rPr>
        <w:t>：反映财政部门安排的公务员医疗补助经费。</w:t>
      </w:r>
    </w:p>
    <w:p>
      <w:pPr>
        <w:adjustRightInd w:val="0"/>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19.住房保障支出(类)住房改革支出(款)住房公积金(项)</w:t>
      </w:r>
      <w:r>
        <w:rPr>
          <w:rFonts w:ascii="仿宋_GB2312" w:hAnsi="仿宋_GB2312" w:eastAsia="仿宋_GB2312" w:cs="仿宋_GB2312"/>
          <w:sz w:val="32"/>
        </w:rPr>
        <w:t>：反映行政事业单位按人力资源和社会保障部、财政部规定的基本工资和津贴补贴以及规定比例为职工缴纳的住房公积金。</w:t>
      </w:r>
    </w:p>
    <w:p>
      <w:pPr>
        <w:adjustRightInd w:val="0"/>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20.住房保障支出(类)住房改革支出(款)购房补贴(项)</w:t>
      </w:r>
      <w:r>
        <w:rPr>
          <w:rFonts w:ascii="仿宋_GB2312" w:hAnsi="仿宋_GB2312" w:eastAsia="仿宋_GB2312" w:cs="仿宋_GB2312"/>
          <w:sz w:val="32"/>
        </w:rPr>
        <w:t>：反映按房改政策规定，行政事业单位向符合条件职工（含离退休人员）、军队(含武警)向转役复员离退休人员发放的用于购买住房的补贴。</w:t>
      </w:r>
    </w:p>
    <w:p>
      <w:pPr>
        <w:pStyle w:val="3"/>
        <w:adjustRightInd w:val="0"/>
        <w:snapToGrid w:val="0"/>
        <w:spacing w:before="0" w:after="0"/>
        <w:ind w:firstLine="643"/>
        <w:rPr>
          <w:rFonts w:hint="eastAsia"/>
          <w:b w:val="0"/>
          <w:bCs/>
          <w:lang w:eastAsia="zh-CN"/>
        </w:rPr>
        <w:sectPr>
          <w:footerReference r:id="rId6" w:type="default"/>
          <w:pgSz w:w="11906" w:h="16838"/>
          <w:pgMar w:top="1440" w:right="1800" w:bottom="1440" w:left="1800" w:header="851" w:footer="992" w:gutter="0"/>
          <w:pgNumType w:fmt="decimal"/>
          <w:cols w:space="425" w:num="1"/>
          <w:docGrid w:type="lines" w:linePitch="312" w:charSpace="0"/>
        </w:sectPr>
      </w:pPr>
    </w:p>
    <w:p>
      <w:pPr>
        <w:ind w:left="838" w:leftChars="399" w:firstLine="841" w:firstLineChars="263"/>
        <w:jc w:val="left"/>
        <w:rPr>
          <w:rFonts w:hint="eastAsia" w:ascii="Times New Roman" w:hAnsi="Times New Roman" w:eastAsia="黑体" w:cs="Times New Roman"/>
          <w:b w:val="0"/>
          <w:bCs/>
          <w:kern w:val="44"/>
          <w:sz w:val="32"/>
          <w:lang w:val="en-US" w:eastAsia="zh-CN" w:bidi="ar-SA"/>
        </w:rPr>
      </w:pPr>
      <w:r>
        <w:rPr>
          <w:rFonts w:hint="eastAsia" w:ascii="Times New Roman" w:hAnsi="Times New Roman" w:eastAsia="黑体" w:cs="Times New Roman"/>
          <w:b w:val="0"/>
          <w:bCs/>
          <w:kern w:val="44"/>
          <w:sz w:val="32"/>
          <w:lang w:val="en-US" w:eastAsia="zh-CN" w:bidi="ar-SA"/>
        </w:rPr>
        <w:t>四、</w:t>
      </w:r>
      <w:r>
        <w:rPr>
          <w:rFonts w:hint="eastAsia" w:ascii="黑体" w:hAnsi="黑体" w:eastAsia="黑体" w:cs="黑体"/>
          <w:b w:val="0"/>
          <w:bCs/>
          <w:kern w:val="44"/>
          <w:sz w:val="32"/>
          <w:lang w:val="en-US" w:eastAsia="zh-CN" w:bidi="ar-SA"/>
        </w:rPr>
        <w:t>2023</w:t>
      </w:r>
      <w:r>
        <w:rPr>
          <w:rFonts w:hint="eastAsia" w:ascii="Times New Roman" w:hAnsi="Times New Roman" w:eastAsia="黑体" w:cs="Times New Roman"/>
          <w:b w:val="0"/>
          <w:bCs/>
          <w:kern w:val="44"/>
          <w:sz w:val="32"/>
          <w:lang w:val="en-US" w:eastAsia="zh-CN" w:bidi="ar-SA"/>
        </w:rPr>
        <w:t>年</w:t>
      </w:r>
      <w:r>
        <w:rPr>
          <w:rFonts w:hint="eastAsia" w:ascii="黑体" w:hAnsi="黑体" w:eastAsia="黑体" w:cs="黑体"/>
          <w:b w:val="0"/>
          <w:bCs/>
          <w:kern w:val="44"/>
          <w:sz w:val="32"/>
          <w:lang w:val="en-US" w:eastAsia="zh-CN" w:bidi="ar-SA"/>
        </w:rPr>
        <w:t>单位</w:t>
      </w:r>
      <w:r>
        <w:rPr>
          <w:rFonts w:hint="eastAsia" w:ascii="Times New Roman" w:hAnsi="Times New Roman" w:eastAsia="黑体" w:cs="Times New Roman"/>
          <w:b w:val="0"/>
          <w:bCs/>
          <w:kern w:val="44"/>
          <w:sz w:val="32"/>
          <w:lang w:val="en-US" w:eastAsia="zh-CN" w:bidi="ar-SA"/>
        </w:rPr>
        <w:t>预算公开表</w:t>
      </w:r>
    </w:p>
    <w:p>
      <w:pPr>
        <w:jc w:val="right"/>
        <w:rPr>
          <w:rFonts w:hint="eastAsia" w:ascii="仿宋_GB2312" w:hAnsi="仿宋_GB2312" w:eastAsia="仿宋_GB2312" w:cs="仿宋_GB2312"/>
          <w:bCs/>
          <w:szCs w:val="21"/>
        </w:rPr>
      </w:pPr>
      <w:r>
        <w:rPr>
          <w:rFonts w:hint="eastAsia" w:ascii="仿宋_GB2312" w:hAnsi="仿宋_GB2312" w:eastAsia="仿宋_GB2312" w:cs="仿宋_GB2312"/>
          <w:bCs/>
          <w:szCs w:val="21"/>
        </w:rPr>
        <w:t>公开表1</w:t>
      </w:r>
    </w:p>
    <w:p>
      <w:pPr>
        <w:pStyle w:val="2"/>
        <w:jc w:val="center"/>
        <w:outlineLvl w:val="1"/>
        <w:rPr>
          <w:rFonts w:hint="eastAsia" w:ascii="仿宋_GB2312" w:hAnsi="仿宋_GB2312" w:eastAsia="仿宋_GB2312" w:cs="仿宋_GB2312"/>
        </w:rPr>
      </w:pPr>
      <w:bookmarkStart w:id="17" w:name="_Toc20401"/>
      <w:bookmarkStart w:id="18" w:name="_Toc3544"/>
      <w:r>
        <w:rPr>
          <w:rFonts w:hint="eastAsia" w:ascii="仿宋_GB2312" w:hAnsi="仿宋_GB2312" w:eastAsia="仿宋_GB2312" w:cs="仿宋_GB2312"/>
          <w:i w:val="0"/>
          <w:iCs w:val="0"/>
          <w:color w:val="000000"/>
          <w:kern w:val="0"/>
          <w:sz w:val="44"/>
          <w:szCs w:val="44"/>
          <w:u w:val="none"/>
          <w:lang w:val="en-US" w:eastAsia="zh-CN" w:bidi="ar"/>
        </w:rPr>
        <w:t>2023</w:t>
      </w:r>
      <w:bookmarkEnd w:id="17"/>
      <w:bookmarkEnd w:id="18"/>
      <w:r>
        <w:rPr>
          <w:rFonts w:ascii="仿宋_GB2312" w:hAnsi="仿宋_GB2312" w:eastAsia="仿宋_GB2312" w:cs="仿宋_GB2312"/>
          <w:color w:val="000000"/>
          <w:sz w:val="44"/>
        </w:rPr>
        <w:t>年单位收支预算总表</w:t>
      </w:r>
    </w:p>
    <w:tbl>
      <w:tblPr>
        <w:tblStyle w:val="13"/>
        <w:tblW w:w="4888" w:type="pct"/>
        <w:jc w:val="center"/>
        <w:tblLayout w:type="autofit"/>
        <w:tblCellMar>
          <w:top w:w="0" w:type="dxa"/>
          <w:left w:w="108" w:type="dxa"/>
          <w:bottom w:w="0" w:type="dxa"/>
          <w:right w:w="108" w:type="dxa"/>
        </w:tblCellMar>
      </w:tblPr>
      <w:tblGrid>
        <w:gridCol w:w="3587"/>
        <w:gridCol w:w="1694"/>
        <w:gridCol w:w="3835"/>
        <w:gridCol w:w="1327"/>
      </w:tblGrid>
      <w:tr>
        <w:tblPrEx>
          <w:tblCellMar>
            <w:top w:w="0" w:type="dxa"/>
            <w:left w:w="108" w:type="dxa"/>
            <w:bottom w:w="0" w:type="dxa"/>
            <w:right w:w="108" w:type="dxa"/>
          </w:tblCellMar>
        </w:tblPrEx>
        <w:trPr>
          <w:trHeight w:val="175" w:hRule="atLeast"/>
          <w:jc w:val="center"/>
        </w:trPr>
        <w:tc>
          <w:tcPr>
            <w:tcW w:w="4364" w:type="pct"/>
            <w:gridSpan w:val="3"/>
            <w:tcBorders>
              <w:top w:val="nil"/>
              <w:left w:val="nil"/>
              <w:bottom w:val="single" w:color="auto" w:sz="4" w:space="0"/>
              <w:right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bCs/>
                <w:szCs w:val="21"/>
                <w:lang w:eastAsia="zh-CN"/>
              </w:rPr>
              <w:t>单位</w:t>
            </w:r>
            <w:r>
              <w:rPr>
                <w:rFonts w:ascii="仿宋_GB2312" w:hAnsi="仿宋_GB2312" w:eastAsia="仿宋_GB2312" w:cs="仿宋_GB2312"/>
              </w:rPr>
              <w:t>名称：温州市妇女儿童活动中心</w:t>
            </w:r>
          </w:p>
        </w:tc>
        <w:tc>
          <w:tcPr>
            <w:tcW w:w="635" w:type="pct"/>
            <w:tcBorders>
              <w:top w:val="nil"/>
              <w:left w:val="nil"/>
              <w:bottom w:val="single" w:color="auto" w:sz="4" w:space="0"/>
              <w:right w:val="nil"/>
            </w:tcBorders>
            <w:vAlign w:val="center"/>
          </w:tcPr>
          <w:p>
            <w:pPr>
              <w:keepNext w:val="0"/>
              <w:keepLines w:val="0"/>
              <w:widowControl/>
              <w:suppressLineNumbers w:val="0"/>
              <w:jc w:val="right"/>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单位：万元</w:t>
            </w:r>
          </w:p>
        </w:tc>
      </w:tr>
      <w:tr>
        <w:tblPrEx>
          <w:tblCellMar>
            <w:top w:w="0" w:type="dxa"/>
            <w:left w:w="108" w:type="dxa"/>
            <w:bottom w:w="0" w:type="dxa"/>
            <w:right w:w="108" w:type="dxa"/>
          </w:tblCellMar>
        </w:tblPrEx>
        <w:trPr>
          <w:trHeight w:val="128" w:hRule="atLeast"/>
          <w:jc w:val="center"/>
        </w:trPr>
        <w:tc>
          <w:tcPr>
            <w:tcW w:w="2528"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iCs w:val="0"/>
                <w:color w:val="000000"/>
                <w:kern w:val="0"/>
                <w:sz w:val="20"/>
                <w:szCs w:val="20"/>
                <w:u w:val="none"/>
                <w:lang w:val="en-US" w:eastAsia="zh-CN" w:bidi="ar"/>
              </w:rPr>
              <w:t>收                    入</w:t>
            </w:r>
          </w:p>
        </w:tc>
        <w:tc>
          <w:tcPr>
            <w:tcW w:w="2471"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iCs w:val="0"/>
                <w:color w:val="000000"/>
                <w:kern w:val="0"/>
                <w:sz w:val="20"/>
                <w:szCs w:val="20"/>
                <w:u w:val="none"/>
                <w:lang w:val="en-US" w:eastAsia="zh-CN" w:bidi="ar"/>
              </w:rPr>
              <w:t>支                    出</w:t>
            </w:r>
          </w:p>
        </w:tc>
      </w:tr>
      <w:tr>
        <w:tblPrEx>
          <w:tblCellMar>
            <w:top w:w="0" w:type="dxa"/>
            <w:left w:w="108" w:type="dxa"/>
            <w:bottom w:w="0" w:type="dxa"/>
            <w:right w:w="108" w:type="dxa"/>
          </w:tblCellMar>
        </w:tblPrEx>
        <w:trPr>
          <w:trHeight w:val="90" w:hRule="atLeast"/>
          <w:jc w:val="center"/>
        </w:trPr>
        <w:tc>
          <w:tcPr>
            <w:tcW w:w="171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ascii="仿宋_GB2312" w:hAnsi="仿宋_GB2312" w:eastAsia="仿宋_GB2312" w:cs="仿宋_GB2312"/>
                <w:color w:val="000000"/>
                <w:sz w:val="20"/>
              </w:rPr>
              <w:t>项       目</w:t>
            </w:r>
          </w:p>
        </w:tc>
        <w:tc>
          <w:tcPr>
            <w:tcW w:w="8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iCs w:val="0"/>
                <w:color w:val="000000"/>
                <w:kern w:val="0"/>
                <w:sz w:val="20"/>
                <w:szCs w:val="20"/>
                <w:u w:val="none"/>
                <w:lang w:val="en-US" w:eastAsia="zh-CN" w:bidi="ar"/>
              </w:rPr>
              <w:t>预算数</w:t>
            </w:r>
          </w:p>
        </w:tc>
        <w:tc>
          <w:tcPr>
            <w:tcW w:w="183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iCs w:val="0"/>
                <w:color w:val="000000"/>
                <w:kern w:val="0"/>
                <w:sz w:val="20"/>
                <w:szCs w:val="20"/>
                <w:u w:val="none"/>
                <w:lang w:val="en-US" w:eastAsia="zh-CN" w:bidi="ar"/>
              </w:rPr>
              <w:t>项    目</w:t>
            </w: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iCs w:val="0"/>
                <w:color w:val="000000"/>
                <w:kern w:val="0"/>
                <w:sz w:val="20"/>
                <w:szCs w:val="20"/>
                <w:u w:val="none"/>
                <w:lang w:val="en-US" w:eastAsia="zh-CN" w:bidi="ar"/>
              </w:rPr>
              <w:t>预算数</w:t>
            </w:r>
          </w:p>
        </w:tc>
      </w:tr>
      <w:tr>
        <w:tblPrEx>
          <w:tblCellMar>
            <w:top w:w="0" w:type="dxa"/>
            <w:left w:w="108" w:type="dxa"/>
            <w:bottom w:w="0" w:type="dxa"/>
            <w:right w:w="108" w:type="dxa"/>
          </w:tblCellMar>
        </w:tblPrEx>
        <w:trPr>
          <w:trHeight w:val="154" w:hRule="atLeast"/>
          <w:jc w:val="center"/>
        </w:trPr>
        <w:tc>
          <w:tcPr>
            <w:tcW w:w="171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一、财政拨款</w:t>
            </w:r>
          </w:p>
        </w:tc>
        <w:tc>
          <w:tcPr>
            <w:tcW w:w="8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880.59</w:t>
            </w:r>
          </w:p>
        </w:tc>
        <w:tc>
          <w:tcPr>
            <w:tcW w:w="183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一般公共服务支出</w:t>
            </w: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1,599.96</w:t>
            </w:r>
          </w:p>
        </w:tc>
      </w:tr>
      <w:tr>
        <w:tblPrEx>
          <w:tblCellMar>
            <w:top w:w="0" w:type="dxa"/>
            <w:left w:w="108" w:type="dxa"/>
            <w:bottom w:w="0" w:type="dxa"/>
            <w:right w:w="108" w:type="dxa"/>
          </w:tblCellMar>
        </w:tblPrEx>
        <w:trPr>
          <w:trHeight w:val="154" w:hRule="atLeast"/>
          <w:jc w:val="center"/>
        </w:trPr>
        <w:tc>
          <w:tcPr>
            <w:tcW w:w="171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一般公共预算</w:t>
            </w:r>
          </w:p>
        </w:tc>
        <w:tc>
          <w:tcPr>
            <w:tcW w:w="8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880.59</w:t>
            </w:r>
          </w:p>
        </w:tc>
        <w:tc>
          <w:tcPr>
            <w:tcW w:w="183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群众团体事务</w:t>
            </w: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1,599.96</w:t>
            </w:r>
          </w:p>
        </w:tc>
      </w:tr>
      <w:tr>
        <w:tblPrEx>
          <w:tblCellMar>
            <w:top w:w="0" w:type="dxa"/>
            <w:left w:w="108" w:type="dxa"/>
            <w:bottom w:w="0" w:type="dxa"/>
            <w:right w:w="108" w:type="dxa"/>
          </w:tblCellMar>
        </w:tblPrEx>
        <w:trPr>
          <w:trHeight w:val="154" w:hRule="atLeast"/>
          <w:jc w:val="center"/>
        </w:trPr>
        <w:tc>
          <w:tcPr>
            <w:tcW w:w="171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政府性基金预算</w:t>
            </w:r>
          </w:p>
        </w:tc>
        <w:tc>
          <w:tcPr>
            <w:tcW w:w="8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83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事业运行</w:t>
            </w: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556.66</w:t>
            </w:r>
          </w:p>
        </w:tc>
      </w:tr>
      <w:tr>
        <w:tblPrEx>
          <w:tblCellMar>
            <w:top w:w="0" w:type="dxa"/>
            <w:left w:w="108" w:type="dxa"/>
            <w:bottom w:w="0" w:type="dxa"/>
            <w:right w:w="108" w:type="dxa"/>
          </w:tblCellMar>
        </w:tblPrEx>
        <w:trPr>
          <w:trHeight w:val="154" w:hRule="atLeast"/>
          <w:jc w:val="center"/>
        </w:trPr>
        <w:tc>
          <w:tcPr>
            <w:tcW w:w="171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国有资本经营预算</w:t>
            </w:r>
          </w:p>
        </w:tc>
        <w:tc>
          <w:tcPr>
            <w:tcW w:w="8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83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其他群众团体事务支出</w:t>
            </w: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1,043.30</w:t>
            </w:r>
          </w:p>
        </w:tc>
      </w:tr>
      <w:tr>
        <w:tblPrEx>
          <w:tblCellMar>
            <w:top w:w="0" w:type="dxa"/>
            <w:left w:w="108" w:type="dxa"/>
            <w:bottom w:w="0" w:type="dxa"/>
            <w:right w:w="108" w:type="dxa"/>
          </w:tblCellMar>
        </w:tblPrEx>
        <w:trPr>
          <w:trHeight w:val="154" w:hRule="atLeast"/>
          <w:jc w:val="center"/>
        </w:trPr>
        <w:tc>
          <w:tcPr>
            <w:tcW w:w="171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二、财政专户管理资金</w:t>
            </w:r>
          </w:p>
        </w:tc>
        <w:tc>
          <w:tcPr>
            <w:tcW w:w="8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894.50</w:t>
            </w:r>
          </w:p>
        </w:tc>
        <w:tc>
          <w:tcPr>
            <w:tcW w:w="183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社会保障和就业支出</w:t>
            </w: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74.58</w:t>
            </w:r>
          </w:p>
        </w:tc>
      </w:tr>
      <w:tr>
        <w:tblPrEx>
          <w:tblCellMar>
            <w:top w:w="0" w:type="dxa"/>
            <w:left w:w="108" w:type="dxa"/>
            <w:bottom w:w="0" w:type="dxa"/>
            <w:right w:w="108" w:type="dxa"/>
          </w:tblCellMar>
        </w:tblPrEx>
        <w:trPr>
          <w:trHeight w:val="154" w:hRule="atLeast"/>
          <w:jc w:val="center"/>
        </w:trPr>
        <w:tc>
          <w:tcPr>
            <w:tcW w:w="171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三、事业收入</w:t>
            </w:r>
          </w:p>
        </w:tc>
        <w:tc>
          <w:tcPr>
            <w:tcW w:w="8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83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行政事业单位养老支出</w:t>
            </w: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74.58</w:t>
            </w:r>
          </w:p>
        </w:tc>
      </w:tr>
      <w:tr>
        <w:tblPrEx>
          <w:tblCellMar>
            <w:top w:w="0" w:type="dxa"/>
            <w:left w:w="108" w:type="dxa"/>
            <w:bottom w:w="0" w:type="dxa"/>
            <w:right w:w="108" w:type="dxa"/>
          </w:tblCellMar>
        </w:tblPrEx>
        <w:trPr>
          <w:trHeight w:val="154" w:hRule="atLeast"/>
          <w:jc w:val="center"/>
        </w:trPr>
        <w:tc>
          <w:tcPr>
            <w:tcW w:w="171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四、事业单位经营收入</w:t>
            </w:r>
          </w:p>
        </w:tc>
        <w:tc>
          <w:tcPr>
            <w:tcW w:w="8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83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机关事业单位基本养老保险缴费支出</w:t>
            </w: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49.72</w:t>
            </w:r>
          </w:p>
        </w:tc>
      </w:tr>
      <w:tr>
        <w:tblPrEx>
          <w:tblCellMar>
            <w:top w:w="0" w:type="dxa"/>
            <w:left w:w="108" w:type="dxa"/>
            <w:bottom w:w="0" w:type="dxa"/>
            <w:right w:w="108" w:type="dxa"/>
          </w:tblCellMar>
        </w:tblPrEx>
        <w:trPr>
          <w:trHeight w:val="154" w:hRule="atLeast"/>
          <w:jc w:val="center"/>
        </w:trPr>
        <w:tc>
          <w:tcPr>
            <w:tcW w:w="171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五、上级补助收入</w:t>
            </w:r>
          </w:p>
        </w:tc>
        <w:tc>
          <w:tcPr>
            <w:tcW w:w="8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83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机关事业单位职业年金缴费支出</w:t>
            </w: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24.86</w:t>
            </w:r>
          </w:p>
        </w:tc>
      </w:tr>
      <w:tr>
        <w:tblPrEx>
          <w:tblCellMar>
            <w:top w:w="0" w:type="dxa"/>
            <w:left w:w="108" w:type="dxa"/>
            <w:bottom w:w="0" w:type="dxa"/>
            <w:right w:w="108" w:type="dxa"/>
          </w:tblCellMar>
        </w:tblPrEx>
        <w:trPr>
          <w:trHeight w:val="154" w:hRule="atLeast"/>
          <w:jc w:val="center"/>
        </w:trPr>
        <w:tc>
          <w:tcPr>
            <w:tcW w:w="171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六、附属单位上缴收入</w:t>
            </w:r>
          </w:p>
        </w:tc>
        <w:tc>
          <w:tcPr>
            <w:tcW w:w="8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83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卫生健康支出</w:t>
            </w: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35.82</w:t>
            </w:r>
          </w:p>
        </w:tc>
      </w:tr>
      <w:tr>
        <w:tblPrEx>
          <w:tblCellMar>
            <w:top w:w="0" w:type="dxa"/>
            <w:left w:w="108" w:type="dxa"/>
            <w:bottom w:w="0" w:type="dxa"/>
            <w:right w:w="108" w:type="dxa"/>
          </w:tblCellMar>
        </w:tblPrEx>
        <w:trPr>
          <w:trHeight w:val="154" w:hRule="atLeast"/>
          <w:jc w:val="center"/>
        </w:trPr>
        <w:tc>
          <w:tcPr>
            <w:tcW w:w="171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七、其他收入</w:t>
            </w:r>
          </w:p>
        </w:tc>
        <w:tc>
          <w:tcPr>
            <w:tcW w:w="8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83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行政事业单位医疗</w:t>
            </w: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35.82</w:t>
            </w:r>
          </w:p>
        </w:tc>
      </w:tr>
      <w:tr>
        <w:tblPrEx>
          <w:tblCellMar>
            <w:top w:w="0" w:type="dxa"/>
            <w:left w:w="108" w:type="dxa"/>
            <w:bottom w:w="0" w:type="dxa"/>
            <w:right w:w="108" w:type="dxa"/>
          </w:tblCellMar>
        </w:tblPrEx>
        <w:trPr>
          <w:trHeight w:val="154" w:hRule="atLeast"/>
          <w:jc w:val="center"/>
        </w:trPr>
        <w:tc>
          <w:tcPr>
            <w:tcW w:w="171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8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83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事业单位医疗</w:t>
            </w: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20.31</w:t>
            </w:r>
          </w:p>
        </w:tc>
      </w:tr>
      <w:tr>
        <w:tblPrEx>
          <w:tblCellMar>
            <w:top w:w="0" w:type="dxa"/>
            <w:left w:w="108" w:type="dxa"/>
            <w:bottom w:w="0" w:type="dxa"/>
            <w:right w:w="108" w:type="dxa"/>
          </w:tblCellMar>
        </w:tblPrEx>
        <w:trPr>
          <w:trHeight w:val="154" w:hRule="atLeast"/>
          <w:jc w:val="center"/>
        </w:trPr>
        <w:tc>
          <w:tcPr>
            <w:tcW w:w="171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8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83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公务员医疗补助</w:t>
            </w: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15.51</w:t>
            </w:r>
          </w:p>
        </w:tc>
      </w:tr>
      <w:tr>
        <w:tblPrEx>
          <w:tblCellMar>
            <w:top w:w="0" w:type="dxa"/>
            <w:left w:w="108" w:type="dxa"/>
            <w:bottom w:w="0" w:type="dxa"/>
            <w:right w:w="108" w:type="dxa"/>
          </w:tblCellMar>
        </w:tblPrEx>
        <w:trPr>
          <w:trHeight w:val="154" w:hRule="atLeast"/>
          <w:jc w:val="center"/>
        </w:trPr>
        <w:tc>
          <w:tcPr>
            <w:tcW w:w="171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8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83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住房保障支出</w:t>
            </w: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64.73</w:t>
            </w:r>
          </w:p>
        </w:tc>
      </w:tr>
      <w:tr>
        <w:tblPrEx>
          <w:tblCellMar>
            <w:top w:w="0" w:type="dxa"/>
            <w:left w:w="108" w:type="dxa"/>
            <w:bottom w:w="0" w:type="dxa"/>
            <w:right w:w="108" w:type="dxa"/>
          </w:tblCellMar>
        </w:tblPrEx>
        <w:trPr>
          <w:trHeight w:val="154" w:hRule="atLeast"/>
          <w:jc w:val="center"/>
        </w:trPr>
        <w:tc>
          <w:tcPr>
            <w:tcW w:w="171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8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83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住房改革支出</w:t>
            </w: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64.73</w:t>
            </w:r>
          </w:p>
        </w:tc>
      </w:tr>
      <w:tr>
        <w:tblPrEx>
          <w:tblCellMar>
            <w:top w:w="0" w:type="dxa"/>
            <w:left w:w="108" w:type="dxa"/>
            <w:bottom w:w="0" w:type="dxa"/>
            <w:right w:w="108" w:type="dxa"/>
          </w:tblCellMar>
        </w:tblPrEx>
        <w:trPr>
          <w:trHeight w:val="154" w:hRule="atLeast"/>
          <w:jc w:val="center"/>
        </w:trPr>
        <w:tc>
          <w:tcPr>
            <w:tcW w:w="171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8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83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住房公积金</w:t>
            </w: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53.23</w:t>
            </w:r>
          </w:p>
        </w:tc>
      </w:tr>
      <w:tr>
        <w:tblPrEx>
          <w:tblCellMar>
            <w:top w:w="0" w:type="dxa"/>
            <w:left w:w="108" w:type="dxa"/>
            <w:bottom w:w="0" w:type="dxa"/>
            <w:right w:w="108" w:type="dxa"/>
          </w:tblCellMar>
        </w:tblPrEx>
        <w:trPr>
          <w:trHeight w:val="154" w:hRule="atLeast"/>
          <w:jc w:val="center"/>
        </w:trPr>
        <w:tc>
          <w:tcPr>
            <w:tcW w:w="171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8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83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购房补贴</w:t>
            </w: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11.50</w:t>
            </w:r>
          </w:p>
        </w:tc>
      </w:tr>
      <w:tr>
        <w:tblPrEx>
          <w:tblCellMar>
            <w:top w:w="0" w:type="dxa"/>
            <w:left w:w="108" w:type="dxa"/>
            <w:bottom w:w="0" w:type="dxa"/>
            <w:right w:w="108" w:type="dxa"/>
          </w:tblCellMar>
        </w:tblPrEx>
        <w:trPr>
          <w:trHeight w:val="154" w:hRule="atLeast"/>
          <w:jc w:val="center"/>
        </w:trPr>
        <w:tc>
          <w:tcPr>
            <w:tcW w:w="171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本年收入合计</w:t>
            </w:r>
          </w:p>
        </w:tc>
        <w:tc>
          <w:tcPr>
            <w:tcW w:w="8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1,775.09</w:t>
            </w:r>
          </w:p>
        </w:tc>
        <w:tc>
          <w:tcPr>
            <w:tcW w:w="183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本年支出合计</w:t>
            </w: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1,775.09</w:t>
            </w:r>
          </w:p>
        </w:tc>
      </w:tr>
      <w:tr>
        <w:tblPrEx>
          <w:tblCellMar>
            <w:top w:w="0" w:type="dxa"/>
            <w:left w:w="108" w:type="dxa"/>
            <w:bottom w:w="0" w:type="dxa"/>
            <w:right w:w="108" w:type="dxa"/>
          </w:tblCellMar>
        </w:tblPrEx>
        <w:trPr>
          <w:trHeight w:val="154" w:hRule="atLeast"/>
          <w:jc w:val="center"/>
        </w:trPr>
        <w:tc>
          <w:tcPr>
            <w:tcW w:w="171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上年结转结余</w:t>
            </w:r>
          </w:p>
        </w:tc>
        <w:tc>
          <w:tcPr>
            <w:tcW w:w="8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83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年终结转结余</w:t>
            </w: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154" w:hRule="atLeast"/>
          <w:jc w:val="center"/>
        </w:trPr>
        <w:tc>
          <w:tcPr>
            <w:tcW w:w="171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收  入  总  计</w:t>
            </w:r>
          </w:p>
        </w:tc>
        <w:tc>
          <w:tcPr>
            <w:tcW w:w="8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1,775.09</w:t>
            </w:r>
          </w:p>
        </w:tc>
        <w:tc>
          <w:tcPr>
            <w:tcW w:w="183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支  出  总  计</w:t>
            </w: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1,775.09</w:t>
            </w:r>
          </w:p>
        </w:tc>
      </w:tr>
    </w:tbl>
    <w:p>
      <w:pPr>
        <w:keepNext w:val="0"/>
        <w:keepLines w:val="0"/>
        <w:widowControl/>
        <w:suppressLineNumbers w:val="0"/>
        <w:jc w:val="left"/>
        <w:textAlignment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注：本套报表若明细数加计之和与合计数有尾差，系套表金额转换时四舍五入造成，不另行调整。</w:t>
      </w:r>
    </w:p>
    <w:p>
      <w:pPr>
        <w:pStyle w:val="2"/>
        <w:rPr>
          <w:rFonts w:hint="eastAsia" w:ascii="仿宋_GB2312" w:hAnsi="仿宋_GB2312" w:eastAsia="仿宋_GB2312" w:cs="仿宋_GB2312"/>
          <w:lang w:val="en-US" w:eastAsia="zh-CN"/>
        </w:rPr>
        <w:sectPr>
          <w:pgSz w:w="11906" w:h="16838"/>
          <w:pgMar w:top="720" w:right="720" w:bottom="720" w:left="720" w:header="851" w:footer="992" w:gutter="0"/>
          <w:pgNumType w:fmt="decimal"/>
          <w:cols w:space="425" w:num="1"/>
          <w:docGrid w:type="lines" w:linePitch="312" w:charSpace="0"/>
        </w:sectPr>
      </w:pPr>
    </w:p>
    <w:p>
      <w:pPr>
        <w:jc w:val="right"/>
        <w:rPr>
          <w:rFonts w:hint="eastAsia" w:ascii="仿宋_GB2312" w:hAnsi="仿宋_GB2312" w:eastAsia="仿宋_GB2312" w:cs="仿宋_GB2312"/>
          <w:bCs/>
          <w:szCs w:val="21"/>
          <w:lang w:val="en-US" w:eastAsia="zh-CN"/>
        </w:rPr>
      </w:pPr>
      <w:r>
        <w:rPr>
          <w:rFonts w:hint="eastAsia" w:ascii="仿宋_GB2312" w:hAnsi="仿宋_GB2312" w:eastAsia="仿宋_GB2312" w:cs="仿宋_GB2312"/>
          <w:bCs/>
          <w:szCs w:val="21"/>
        </w:rPr>
        <w:t>公开表</w:t>
      </w:r>
      <w:r>
        <w:rPr>
          <w:rFonts w:hint="eastAsia" w:ascii="仿宋_GB2312" w:hAnsi="仿宋_GB2312" w:eastAsia="仿宋_GB2312" w:cs="仿宋_GB2312"/>
          <w:bCs/>
          <w:szCs w:val="21"/>
          <w:lang w:val="en-US" w:eastAsia="zh-CN"/>
        </w:rPr>
        <w:t>2</w:t>
      </w:r>
    </w:p>
    <w:p>
      <w:pPr>
        <w:pStyle w:val="2"/>
        <w:jc w:val="center"/>
        <w:outlineLvl w:val="1"/>
        <w:rPr>
          <w:rFonts w:hint="eastAsia" w:ascii="仿宋_GB2312" w:hAnsi="仿宋_GB2312" w:eastAsia="仿宋_GB2312" w:cs="仿宋_GB2312"/>
          <w:lang w:val="en-US" w:eastAsia="zh-CN"/>
        </w:rPr>
      </w:pPr>
      <w:bookmarkStart w:id="19" w:name="_Toc28635"/>
      <w:bookmarkStart w:id="20" w:name="_Toc23665"/>
      <w:r>
        <w:rPr>
          <w:rFonts w:hint="eastAsia" w:ascii="仿宋_GB2312" w:hAnsi="仿宋_GB2312" w:eastAsia="仿宋_GB2312" w:cs="仿宋_GB2312"/>
          <w:i w:val="0"/>
          <w:iCs w:val="0"/>
          <w:color w:val="000000"/>
          <w:kern w:val="0"/>
          <w:sz w:val="44"/>
          <w:szCs w:val="44"/>
          <w:u w:val="none"/>
          <w:lang w:val="en-US" w:eastAsia="zh-CN" w:bidi="ar"/>
        </w:rPr>
        <w:t>2023</w:t>
      </w:r>
      <w:bookmarkEnd w:id="19"/>
      <w:bookmarkEnd w:id="20"/>
      <w:r>
        <w:rPr>
          <w:rFonts w:ascii="仿宋_GB2312" w:hAnsi="仿宋_GB2312" w:eastAsia="仿宋_GB2312" w:cs="仿宋_GB2312"/>
          <w:color w:val="000000"/>
          <w:sz w:val="44"/>
        </w:rPr>
        <w:t>年单位收入预算总表</w:t>
      </w:r>
    </w:p>
    <w:tbl>
      <w:tblPr>
        <w:tblStyle w:val="13"/>
        <w:tblW w:w="16452" w:type="dxa"/>
        <w:tblInd w:w="15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24"/>
        <w:gridCol w:w="1183"/>
        <w:gridCol w:w="1187"/>
        <w:gridCol w:w="1069"/>
        <w:gridCol w:w="979"/>
        <w:gridCol w:w="769"/>
        <w:gridCol w:w="809"/>
        <w:gridCol w:w="626"/>
        <w:gridCol w:w="822"/>
        <w:gridCol w:w="822"/>
        <w:gridCol w:w="860"/>
        <w:gridCol w:w="900"/>
        <w:gridCol w:w="953"/>
        <w:gridCol w:w="847"/>
        <w:gridCol w:w="831"/>
        <w:gridCol w:w="904"/>
        <w:gridCol w:w="822"/>
        <w:gridCol w:w="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 w:hRule="atLeast"/>
        </w:trPr>
        <w:tc>
          <w:tcPr>
            <w:tcW w:w="11250" w:type="dxa"/>
            <w:gridSpan w:val="12"/>
            <w:tcBorders>
              <w:top w:val="nil"/>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bCs/>
                <w:szCs w:val="21"/>
                <w:lang w:eastAsia="zh-CN"/>
              </w:rPr>
              <w:t>单位</w:t>
            </w:r>
            <w:r>
              <w:rPr>
                <w:rFonts w:ascii="仿宋_GB2312" w:hAnsi="仿宋_GB2312" w:eastAsia="仿宋_GB2312" w:cs="仿宋_GB2312"/>
              </w:rPr>
              <w:t>名称：温州市妇女儿童活动中心</w:t>
            </w:r>
          </w:p>
        </w:tc>
        <w:tc>
          <w:tcPr>
            <w:tcW w:w="5202" w:type="dxa"/>
            <w:gridSpan w:val="6"/>
            <w:tcBorders>
              <w:top w:val="nil"/>
              <w:left w:val="nil"/>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kern w:val="0"/>
                <w:szCs w:val="21"/>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2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单位名称</w:t>
            </w:r>
          </w:p>
        </w:tc>
        <w:tc>
          <w:tcPr>
            <w:tcW w:w="11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总计</w:t>
            </w:r>
          </w:p>
        </w:tc>
        <w:tc>
          <w:tcPr>
            <w:tcW w:w="884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本年收入</w:t>
            </w:r>
          </w:p>
        </w:tc>
        <w:tc>
          <w:tcPr>
            <w:tcW w:w="520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122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16"/>
                <w:szCs w:val="16"/>
                <w:u w:val="none"/>
              </w:rPr>
            </w:pPr>
          </w:p>
        </w:tc>
        <w:tc>
          <w:tcPr>
            <w:tcW w:w="11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小计</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一般公共</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预算</w:t>
            </w:r>
          </w:p>
        </w:tc>
        <w:tc>
          <w:tcPr>
            <w:tcW w:w="9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政府性基金预算</w:t>
            </w: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国有资本经营预算</w:t>
            </w:r>
          </w:p>
        </w:tc>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财政专户管理资金</w:t>
            </w:r>
          </w:p>
        </w:tc>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事业收入</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事业单位经营收入</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上级补助收入</w:t>
            </w: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附属单位上缴收入</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其他</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收入</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小计</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一般公共预算</w:t>
            </w:r>
          </w:p>
        </w:tc>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政府性基金预算</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专户资金结转结余</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单位资金结转结余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w:t>
            </w: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w:t>
            </w: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3</w:t>
            </w:r>
          </w:p>
        </w:tc>
        <w:tc>
          <w:tcPr>
            <w:tcW w:w="9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4</w:t>
            </w:r>
          </w:p>
        </w:tc>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5</w:t>
            </w:r>
          </w:p>
        </w:tc>
        <w:tc>
          <w:tcPr>
            <w:tcW w:w="8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6</w:t>
            </w:r>
          </w:p>
        </w:tc>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7</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8</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9</w:t>
            </w:r>
          </w:p>
        </w:tc>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11</w:t>
            </w:r>
          </w:p>
        </w:tc>
        <w:tc>
          <w:tcPr>
            <w:tcW w:w="9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12</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13</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14</w:t>
            </w:r>
          </w:p>
        </w:tc>
        <w:tc>
          <w:tcPr>
            <w:tcW w:w="9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15</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16</w:t>
            </w:r>
          </w:p>
        </w:tc>
        <w:tc>
          <w:tcPr>
            <w:tcW w:w="8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22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合计</w:t>
            </w: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1,775.09</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1,775.09</w:t>
            </w: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880.59</w:t>
            </w:r>
          </w:p>
        </w:tc>
        <w:tc>
          <w:tcPr>
            <w:tcW w:w="9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16"/>
                <w:szCs w:val="16"/>
                <w:u w:val="none"/>
                <w:lang w:val="en-US" w:eastAsia="zh-CN" w:bidi="ar"/>
              </w:rPr>
            </w:pPr>
          </w:p>
        </w:tc>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16"/>
                <w:szCs w:val="16"/>
                <w:u w:val="none"/>
                <w:lang w:val="en-US" w:eastAsia="zh-CN" w:bidi="ar"/>
              </w:rPr>
            </w:pPr>
          </w:p>
        </w:tc>
        <w:tc>
          <w:tcPr>
            <w:tcW w:w="8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894.50</w:t>
            </w:r>
          </w:p>
        </w:tc>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16"/>
                <w:szCs w:val="16"/>
                <w:u w:val="none"/>
                <w:lang w:val="en-US" w:eastAsia="zh-CN" w:bidi="ar"/>
              </w:rPr>
            </w:pP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16"/>
                <w:szCs w:val="16"/>
                <w:u w:val="none"/>
                <w:lang w:val="en-US" w:eastAsia="zh-CN" w:bidi="ar"/>
              </w:rPr>
            </w:pP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16"/>
                <w:szCs w:val="16"/>
                <w:u w:val="none"/>
                <w:lang w:val="en-US" w:eastAsia="zh-CN" w:bidi="ar"/>
              </w:rPr>
            </w:pPr>
          </w:p>
        </w:tc>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16"/>
                <w:szCs w:val="16"/>
                <w:u w:val="none"/>
                <w:lang w:val="en-US" w:eastAsia="zh-CN" w:bidi="ar"/>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16"/>
                <w:szCs w:val="16"/>
                <w:u w:val="none"/>
                <w:lang w:val="en-US" w:eastAsia="zh-CN" w:bidi="ar"/>
              </w:rPr>
            </w:pPr>
          </w:p>
        </w:tc>
        <w:tc>
          <w:tcPr>
            <w:tcW w:w="9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16"/>
                <w:szCs w:val="16"/>
                <w:u w:val="none"/>
                <w:lang w:val="en-US" w:eastAsia="zh-CN" w:bidi="ar"/>
              </w:rPr>
            </w:pP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16"/>
                <w:szCs w:val="16"/>
                <w:u w:val="none"/>
                <w:lang w:val="en-US" w:eastAsia="zh-CN" w:bidi="ar"/>
              </w:rPr>
            </w:pP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16"/>
                <w:szCs w:val="16"/>
                <w:u w:val="none"/>
                <w:lang w:val="en-US" w:eastAsia="zh-CN" w:bidi="ar"/>
              </w:rPr>
            </w:pPr>
          </w:p>
        </w:tc>
        <w:tc>
          <w:tcPr>
            <w:tcW w:w="9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16"/>
                <w:szCs w:val="16"/>
                <w:u w:val="none"/>
                <w:lang w:val="en-US" w:eastAsia="zh-CN" w:bidi="ar"/>
              </w:rPr>
            </w:pP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16"/>
                <w:szCs w:val="16"/>
                <w:u w:val="none"/>
                <w:lang w:val="en-US" w:eastAsia="zh-CN" w:bidi="ar"/>
              </w:rPr>
            </w:pPr>
          </w:p>
        </w:tc>
        <w:tc>
          <w:tcPr>
            <w:tcW w:w="8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12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温州市妇女联合会</w:t>
            </w: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1,775.09</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1,775.09</w:t>
            </w: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880.59</w:t>
            </w:r>
          </w:p>
        </w:tc>
        <w:tc>
          <w:tcPr>
            <w:tcW w:w="9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16"/>
                <w:szCs w:val="16"/>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16"/>
                <w:szCs w:val="16"/>
                <w:u w:val="none"/>
              </w:rPr>
            </w:pPr>
          </w:p>
        </w:tc>
        <w:tc>
          <w:tcPr>
            <w:tcW w:w="8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894.50</w:t>
            </w:r>
          </w:p>
        </w:tc>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16"/>
                <w:szCs w:val="16"/>
                <w:u w:val="none"/>
              </w:rPr>
            </w:pP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16"/>
                <w:szCs w:val="16"/>
                <w:u w:val="none"/>
              </w:rPr>
            </w:pP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16"/>
                <w:szCs w:val="16"/>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16"/>
                <w:szCs w:val="16"/>
                <w:u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16"/>
                <w:szCs w:val="16"/>
                <w:u w:val="none"/>
              </w:rPr>
            </w:pPr>
          </w:p>
        </w:tc>
        <w:tc>
          <w:tcPr>
            <w:tcW w:w="9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16"/>
                <w:szCs w:val="16"/>
                <w:u w:val="none"/>
              </w:rPr>
            </w:pP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16"/>
                <w:szCs w:val="16"/>
                <w:u w:val="none"/>
              </w:rPr>
            </w:pP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16"/>
                <w:szCs w:val="16"/>
                <w:u w:val="none"/>
              </w:rPr>
            </w:pPr>
          </w:p>
        </w:tc>
        <w:tc>
          <w:tcPr>
            <w:tcW w:w="9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16"/>
                <w:szCs w:val="16"/>
                <w:u w:val="none"/>
              </w:rPr>
            </w:pP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16"/>
                <w:szCs w:val="16"/>
                <w:u w:val="none"/>
              </w:rPr>
            </w:pPr>
          </w:p>
        </w:tc>
        <w:tc>
          <w:tcPr>
            <w:tcW w:w="8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12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　温州市妇女儿童活动中心</w:t>
            </w: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1,775.09</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1,775.09</w:t>
            </w: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880.59</w:t>
            </w:r>
          </w:p>
        </w:tc>
        <w:tc>
          <w:tcPr>
            <w:tcW w:w="9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16"/>
                <w:szCs w:val="16"/>
                <w:u w:val="none"/>
              </w:rPr>
            </w:pPr>
          </w:p>
        </w:tc>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16"/>
                <w:szCs w:val="16"/>
                <w:u w:val="none"/>
              </w:rPr>
            </w:pPr>
          </w:p>
        </w:tc>
        <w:tc>
          <w:tcPr>
            <w:tcW w:w="8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894.50</w:t>
            </w:r>
          </w:p>
        </w:tc>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16"/>
                <w:szCs w:val="16"/>
                <w:u w:val="none"/>
              </w:rPr>
            </w:pP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16"/>
                <w:szCs w:val="16"/>
                <w:u w:val="none"/>
              </w:rPr>
            </w:pP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16"/>
                <w:szCs w:val="16"/>
                <w:u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16"/>
                <w:szCs w:val="16"/>
                <w:u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16"/>
                <w:szCs w:val="16"/>
                <w:u w:val="none"/>
              </w:rPr>
            </w:pPr>
          </w:p>
        </w:tc>
        <w:tc>
          <w:tcPr>
            <w:tcW w:w="9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16"/>
                <w:szCs w:val="16"/>
                <w:u w:val="none"/>
              </w:rPr>
            </w:pP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16"/>
                <w:szCs w:val="16"/>
                <w:u w:val="none"/>
              </w:rPr>
            </w:pP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16"/>
                <w:szCs w:val="16"/>
                <w:u w:val="none"/>
              </w:rPr>
            </w:pPr>
          </w:p>
        </w:tc>
        <w:tc>
          <w:tcPr>
            <w:tcW w:w="9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16"/>
                <w:szCs w:val="16"/>
                <w:u w:val="none"/>
              </w:rPr>
            </w:pP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16"/>
                <w:szCs w:val="16"/>
                <w:u w:val="none"/>
              </w:rPr>
            </w:pPr>
          </w:p>
        </w:tc>
        <w:tc>
          <w:tcPr>
            <w:tcW w:w="8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16"/>
                <w:szCs w:val="16"/>
                <w:u w:val="none"/>
              </w:rPr>
            </w:pPr>
          </w:p>
        </w:tc>
      </w:tr>
    </w:tbl>
    <w:p>
      <w:pPr>
        <w:pStyle w:val="2"/>
        <w:rPr>
          <w:rFonts w:hint="eastAsia" w:ascii="仿宋_GB2312" w:hAnsi="仿宋_GB2312" w:eastAsia="仿宋_GB2312" w:cs="仿宋_GB2312"/>
        </w:rPr>
        <w:sectPr>
          <w:pgSz w:w="16838" w:h="11906" w:orient="landscape"/>
          <w:pgMar w:top="720" w:right="153" w:bottom="720" w:left="153" w:header="851" w:footer="992" w:gutter="0"/>
          <w:pgNumType w:fmt="decimal"/>
          <w:cols w:space="425" w:num="1"/>
          <w:docGrid w:type="lines" w:linePitch="312" w:charSpace="0"/>
        </w:sectPr>
      </w:pPr>
    </w:p>
    <w:p>
      <w:pPr>
        <w:jc w:val="right"/>
        <w:rPr>
          <w:rFonts w:hint="eastAsia" w:ascii="仿宋_GB2312" w:hAnsi="仿宋_GB2312" w:eastAsia="仿宋_GB2312" w:cs="仿宋_GB2312"/>
          <w:bCs/>
          <w:szCs w:val="21"/>
          <w:lang w:val="en-US" w:eastAsia="zh-CN"/>
        </w:rPr>
      </w:pPr>
      <w:r>
        <w:rPr>
          <w:rFonts w:hint="eastAsia" w:ascii="仿宋_GB2312" w:hAnsi="仿宋_GB2312" w:eastAsia="仿宋_GB2312" w:cs="仿宋_GB2312"/>
          <w:bCs/>
          <w:szCs w:val="21"/>
        </w:rPr>
        <w:t>公开表</w:t>
      </w:r>
      <w:r>
        <w:rPr>
          <w:rFonts w:hint="eastAsia" w:ascii="仿宋_GB2312" w:hAnsi="仿宋_GB2312" w:eastAsia="仿宋_GB2312" w:cs="仿宋_GB2312"/>
          <w:bCs/>
          <w:szCs w:val="21"/>
          <w:lang w:val="en-US" w:eastAsia="zh-CN"/>
        </w:rPr>
        <w:t>3</w:t>
      </w:r>
    </w:p>
    <w:p>
      <w:pPr>
        <w:pStyle w:val="2"/>
        <w:jc w:val="center"/>
        <w:outlineLvl w:val="1"/>
        <w:rPr>
          <w:rFonts w:hint="eastAsia" w:ascii="仿宋_GB2312" w:hAnsi="仿宋_GB2312" w:eastAsia="仿宋_GB2312" w:cs="仿宋_GB2312"/>
          <w:lang w:val="en-US" w:eastAsia="zh-CN"/>
        </w:rPr>
      </w:pPr>
      <w:bookmarkStart w:id="21" w:name="_Toc6651"/>
      <w:bookmarkStart w:id="22" w:name="_Toc22904"/>
      <w:r>
        <w:rPr>
          <w:rFonts w:hint="eastAsia" w:ascii="仿宋_GB2312" w:hAnsi="仿宋_GB2312" w:eastAsia="仿宋_GB2312" w:cs="仿宋_GB2312"/>
          <w:i w:val="0"/>
          <w:iCs w:val="0"/>
          <w:color w:val="000000"/>
          <w:kern w:val="0"/>
          <w:sz w:val="44"/>
          <w:szCs w:val="44"/>
          <w:u w:val="none"/>
          <w:lang w:val="en-US" w:eastAsia="zh-CN" w:bidi="ar"/>
        </w:rPr>
        <w:t>2023</w:t>
      </w:r>
      <w:bookmarkEnd w:id="21"/>
      <w:bookmarkEnd w:id="22"/>
      <w:r>
        <w:rPr>
          <w:rFonts w:ascii="仿宋_GB2312" w:hAnsi="仿宋_GB2312" w:eastAsia="仿宋_GB2312" w:cs="仿宋_GB2312"/>
          <w:color w:val="000000"/>
          <w:sz w:val="44"/>
        </w:rPr>
        <w:t>年单位支出预算总表</w:t>
      </w:r>
    </w:p>
    <w:tbl>
      <w:tblPr>
        <w:tblStyle w:val="13"/>
        <w:tblW w:w="1538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66"/>
        <w:gridCol w:w="4891"/>
        <w:gridCol w:w="1553"/>
        <w:gridCol w:w="1265"/>
        <w:gridCol w:w="1135"/>
        <w:gridCol w:w="1226"/>
        <w:gridCol w:w="1017"/>
        <w:gridCol w:w="966"/>
        <w:gridCol w:w="1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775" w:type="dxa"/>
            <w:gridSpan w:val="4"/>
            <w:tcBorders>
              <w:top w:val="nil"/>
              <w:left w:val="nil"/>
              <w:bottom w:val="single" w:color="000000" w:sz="4" w:space="0"/>
              <w:right w:val="nil"/>
            </w:tcBorders>
            <w:shd w:val="clear" w:color="auto" w:fill="auto"/>
            <w:noWrap/>
            <w:vAlign w:val="center"/>
          </w:tcPr>
          <w:p>
            <w:pP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bCs/>
                <w:szCs w:val="21"/>
                <w:lang w:eastAsia="zh-CN"/>
              </w:rPr>
              <w:t>单位</w:t>
            </w:r>
            <w:r>
              <w:rPr>
                <w:rFonts w:ascii="仿宋_GB2312" w:hAnsi="仿宋_GB2312" w:eastAsia="仿宋_GB2312" w:cs="仿宋_GB2312"/>
              </w:rPr>
              <w:t>名称：温州市妇女儿童活动中心</w:t>
            </w:r>
          </w:p>
        </w:tc>
        <w:tc>
          <w:tcPr>
            <w:tcW w:w="1135" w:type="dxa"/>
            <w:tcBorders>
              <w:top w:val="nil"/>
              <w:left w:val="nil"/>
              <w:bottom w:val="nil"/>
              <w:right w:val="nil"/>
            </w:tcBorders>
            <w:shd w:val="clear" w:color="auto" w:fill="auto"/>
            <w:vAlign w:val="center"/>
          </w:tcPr>
          <w:p>
            <w:pPr>
              <w:rPr>
                <w:rFonts w:hint="eastAsia" w:ascii="仿宋_GB2312" w:hAnsi="仿宋_GB2312" w:eastAsia="仿宋_GB2312" w:cs="仿宋_GB2312"/>
                <w:i w:val="0"/>
                <w:iCs w:val="0"/>
                <w:color w:val="000000"/>
                <w:sz w:val="20"/>
                <w:szCs w:val="20"/>
                <w:u w:val="none"/>
              </w:rPr>
            </w:pPr>
          </w:p>
        </w:tc>
        <w:tc>
          <w:tcPr>
            <w:tcW w:w="1226" w:type="dxa"/>
            <w:tcBorders>
              <w:top w:val="nil"/>
              <w:left w:val="nil"/>
              <w:bottom w:val="nil"/>
              <w:right w:val="nil"/>
            </w:tcBorders>
            <w:shd w:val="clear" w:color="auto" w:fill="auto"/>
            <w:noWrap/>
            <w:vAlign w:val="bottom"/>
          </w:tcPr>
          <w:p>
            <w:pPr>
              <w:rPr>
                <w:rFonts w:hint="eastAsia" w:ascii="仿宋_GB2312" w:hAnsi="仿宋_GB2312" w:eastAsia="仿宋_GB2312" w:cs="仿宋_GB2312"/>
                <w:i w:val="0"/>
                <w:iCs w:val="0"/>
                <w:color w:val="000000"/>
                <w:sz w:val="22"/>
                <w:szCs w:val="22"/>
                <w:u w:val="none"/>
              </w:rPr>
            </w:pPr>
          </w:p>
        </w:tc>
        <w:tc>
          <w:tcPr>
            <w:tcW w:w="1017" w:type="dxa"/>
            <w:tcBorders>
              <w:top w:val="nil"/>
              <w:left w:val="nil"/>
              <w:bottom w:val="nil"/>
              <w:right w:val="nil"/>
            </w:tcBorders>
            <w:shd w:val="clear" w:color="auto" w:fill="auto"/>
            <w:noWrap/>
            <w:vAlign w:val="bottom"/>
          </w:tcPr>
          <w:p>
            <w:pPr>
              <w:rPr>
                <w:rFonts w:hint="eastAsia" w:ascii="仿宋_GB2312" w:hAnsi="仿宋_GB2312" w:eastAsia="仿宋_GB2312" w:cs="仿宋_GB2312"/>
                <w:i w:val="0"/>
                <w:iCs w:val="0"/>
                <w:color w:val="000000"/>
                <w:sz w:val="22"/>
                <w:szCs w:val="22"/>
                <w:u w:val="none"/>
              </w:rPr>
            </w:pPr>
          </w:p>
        </w:tc>
        <w:tc>
          <w:tcPr>
            <w:tcW w:w="966" w:type="dxa"/>
            <w:tcBorders>
              <w:top w:val="nil"/>
              <w:left w:val="nil"/>
              <w:bottom w:val="nil"/>
              <w:right w:val="nil"/>
            </w:tcBorders>
            <w:shd w:val="clear" w:color="auto" w:fill="auto"/>
            <w:noWrap/>
            <w:vAlign w:val="bottom"/>
          </w:tcPr>
          <w:p>
            <w:pPr>
              <w:rPr>
                <w:rFonts w:hint="eastAsia" w:ascii="仿宋_GB2312" w:hAnsi="仿宋_GB2312" w:eastAsia="仿宋_GB2312" w:cs="仿宋_GB2312"/>
                <w:i w:val="0"/>
                <w:iCs w:val="0"/>
                <w:color w:val="000000"/>
                <w:sz w:val="22"/>
                <w:szCs w:val="22"/>
                <w:u w:val="none"/>
              </w:rPr>
            </w:pPr>
          </w:p>
        </w:tc>
        <w:tc>
          <w:tcPr>
            <w:tcW w:w="126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2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科目编码</w:t>
            </w:r>
          </w:p>
        </w:tc>
        <w:tc>
          <w:tcPr>
            <w:tcW w:w="48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科目名称</w:t>
            </w:r>
          </w:p>
        </w:tc>
        <w:tc>
          <w:tcPr>
            <w:tcW w:w="1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总计</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基本支出</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项目支出</w:t>
            </w:r>
          </w:p>
        </w:tc>
        <w:tc>
          <w:tcPr>
            <w:tcW w:w="10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事业单位经营支出</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上缴上</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级支出</w:t>
            </w:r>
          </w:p>
        </w:tc>
        <w:tc>
          <w:tcPr>
            <w:tcW w:w="12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4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人员支出</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公用经费</w:t>
            </w: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4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4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ascii="仿宋_GB2312" w:hAnsi="仿宋_GB2312" w:eastAsia="仿宋_GB2312" w:cs="仿宋_GB2312"/>
                <w:color w:val="000000"/>
                <w:sz w:val="20"/>
              </w:rPr>
              <w:t>合计</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1,775.09</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668.88</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62.91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1,043.30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0"/>
                <w:szCs w:val="20"/>
                <w:u w:val="none"/>
                <w:lang w:val="en-US" w:eastAsia="zh-CN" w:bidi="ar"/>
              </w:rPr>
              <w:t>201</w:t>
            </w:r>
          </w:p>
        </w:tc>
        <w:tc>
          <w:tcPr>
            <w:tcW w:w="4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一般公共服务支出</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1,599.96</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493.75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62.91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1,043.30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0"/>
                <w:szCs w:val="20"/>
                <w:u w:val="none"/>
                <w:lang w:val="en-US" w:eastAsia="zh-CN" w:bidi="ar"/>
              </w:rPr>
              <w:t>　20129</w:t>
            </w:r>
          </w:p>
        </w:tc>
        <w:tc>
          <w:tcPr>
            <w:tcW w:w="4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群众团体事务</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1,599.96</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493.75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62.91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1,043.30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0"/>
                <w:szCs w:val="20"/>
                <w:u w:val="none"/>
                <w:lang w:val="en-US" w:eastAsia="zh-CN" w:bidi="ar"/>
              </w:rPr>
              <w:t>　　2012950</w:t>
            </w:r>
          </w:p>
        </w:tc>
        <w:tc>
          <w:tcPr>
            <w:tcW w:w="4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事业运行</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556.66</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493.75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62.91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0"/>
                <w:szCs w:val="20"/>
                <w:u w:val="none"/>
                <w:lang w:val="en-US" w:eastAsia="zh-CN" w:bidi="ar"/>
              </w:rPr>
              <w:t>　　2012999</w:t>
            </w:r>
          </w:p>
        </w:tc>
        <w:tc>
          <w:tcPr>
            <w:tcW w:w="4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其他群众团体事务支出</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1,043.30</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1,043.30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0"/>
                <w:szCs w:val="20"/>
                <w:u w:val="none"/>
                <w:lang w:val="en-US" w:eastAsia="zh-CN" w:bidi="ar"/>
              </w:rPr>
              <w:t>208</w:t>
            </w:r>
          </w:p>
        </w:tc>
        <w:tc>
          <w:tcPr>
            <w:tcW w:w="4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社会保障和就业支出</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74.58</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74.58</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0"/>
                <w:szCs w:val="20"/>
                <w:u w:val="none"/>
                <w:lang w:val="en-US" w:eastAsia="zh-CN" w:bidi="ar"/>
              </w:rPr>
              <w:t>　20805</w:t>
            </w:r>
          </w:p>
        </w:tc>
        <w:tc>
          <w:tcPr>
            <w:tcW w:w="4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行政事业单位养老支出</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74.58</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74.58</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0"/>
                <w:szCs w:val="20"/>
                <w:u w:val="none"/>
                <w:lang w:val="en-US" w:eastAsia="zh-CN" w:bidi="ar"/>
              </w:rPr>
              <w:t>　　2080505</w:t>
            </w:r>
          </w:p>
        </w:tc>
        <w:tc>
          <w:tcPr>
            <w:tcW w:w="4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机关事业单位基本养老保险缴费支出</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49.72</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49.72</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0"/>
                <w:szCs w:val="20"/>
                <w:u w:val="none"/>
                <w:lang w:val="en-US" w:eastAsia="zh-CN" w:bidi="ar"/>
              </w:rPr>
              <w:t>　　2080506</w:t>
            </w:r>
          </w:p>
        </w:tc>
        <w:tc>
          <w:tcPr>
            <w:tcW w:w="4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机关事业单位职业年金缴费支出</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24.86</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24.86</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0"/>
                <w:szCs w:val="20"/>
                <w:u w:val="none"/>
                <w:lang w:val="en-US" w:eastAsia="zh-CN" w:bidi="ar"/>
              </w:rPr>
              <w:t>210</w:t>
            </w:r>
          </w:p>
        </w:tc>
        <w:tc>
          <w:tcPr>
            <w:tcW w:w="4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卫生健康支出</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35.82</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35.82</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0"/>
                <w:szCs w:val="20"/>
                <w:u w:val="none"/>
                <w:lang w:val="en-US" w:eastAsia="zh-CN" w:bidi="ar"/>
              </w:rPr>
              <w:t>　21011</w:t>
            </w:r>
          </w:p>
        </w:tc>
        <w:tc>
          <w:tcPr>
            <w:tcW w:w="4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行政事业单位医疗</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35.82</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35.82</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0"/>
                <w:szCs w:val="20"/>
                <w:u w:val="none"/>
                <w:lang w:val="en-US" w:eastAsia="zh-CN" w:bidi="ar"/>
              </w:rPr>
              <w:t>　　2101102</w:t>
            </w:r>
          </w:p>
        </w:tc>
        <w:tc>
          <w:tcPr>
            <w:tcW w:w="4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事业单位医疗</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20.31</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20.31</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0"/>
                <w:szCs w:val="20"/>
                <w:u w:val="none"/>
                <w:lang w:val="en-US" w:eastAsia="zh-CN" w:bidi="ar"/>
              </w:rPr>
              <w:t>　　2101103</w:t>
            </w:r>
          </w:p>
        </w:tc>
        <w:tc>
          <w:tcPr>
            <w:tcW w:w="4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公务员医疗补助</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15.51</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15.51</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0"/>
                <w:szCs w:val="20"/>
                <w:u w:val="none"/>
                <w:lang w:val="en-US" w:eastAsia="zh-CN" w:bidi="ar"/>
              </w:rPr>
              <w:t>221</w:t>
            </w:r>
          </w:p>
        </w:tc>
        <w:tc>
          <w:tcPr>
            <w:tcW w:w="4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住房保障支出</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64.73</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64.73</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0"/>
                <w:szCs w:val="20"/>
                <w:u w:val="none"/>
                <w:lang w:val="en-US" w:eastAsia="zh-CN" w:bidi="ar"/>
              </w:rPr>
              <w:t>　22102</w:t>
            </w:r>
          </w:p>
        </w:tc>
        <w:tc>
          <w:tcPr>
            <w:tcW w:w="4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住房改革支出</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64.73</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64.73</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0"/>
                <w:szCs w:val="20"/>
                <w:u w:val="none"/>
                <w:lang w:val="en-US" w:eastAsia="zh-CN" w:bidi="ar"/>
              </w:rPr>
              <w:t>　　2210201</w:t>
            </w:r>
          </w:p>
        </w:tc>
        <w:tc>
          <w:tcPr>
            <w:tcW w:w="4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住房公积金</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53.23</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53.23</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0"/>
                <w:szCs w:val="20"/>
                <w:u w:val="none"/>
                <w:lang w:val="en-US" w:eastAsia="zh-CN" w:bidi="ar"/>
              </w:rPr>
              <w:t>　　2210203</w:t>
            </w:r>
          </w:p>
        </w:tc>
        <w:tc>
          <w:tcPr>
            <w:tcW w:w="4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购房补贴</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11.50</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11.50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r>
    </w:tbl>
    <w:p>
      <w:pPr>
        <w:pStyle w:val="2"/>
        <w:rPr>
          <w:rFonts w:hint="eastAsia" w:ascii="仿宋_GB2312" w:hAnsi="仿宋_GB2312" w:eastAsia="仿宋_GB2312" w:cs="仿宋_GB2312"/>
        </w:rPr>
        <w:sectPr>
          <w:pgSz w:w="16838" w:h="11906" w:orient="landscape"/>
          <w:pgMar w:top="720" w:right="720" w:bottom="720" w:left="720" w:header="851" w:footer="992" w:gutter="0"/>
          <w:pgNumType w:fmt="decimal"/>
          <w:cols w:space="425" w:num="1"/>
          <w:docGrid w:type="lines" w:linePitch="312" w:charSpace="0"/>
        </w:sectPr>
      </w:pPr>
    </w:p>
    <w:p>
      <w:pPr>
        <w:jc w:val="right"/>
        <w:rPr>
          <w:rFonts w:hint="eastAsia" w:ascii="仿宋_GB2312" w:hAnsi="仿宋_GB2312" w:eastAsia="仿宋_GB2312" w:cs="仿宋_GB2312"/>
          <w:bCs/>
          <w:szCs w:val="21"/>
          <w:lang w:val="en-US" w:eastAsia="zh-CN"/>
        </w:rPr>
      </w:pPr>
      <w:r>
        <w:rPr>
          <w:rFonts w:hint="eastAsia" w:ascii="仿宋_GB2312" w:hAnsi="仿宋_GB2312" w:eastAsia="仿宋_GB2312" w:cs="仿宋_GB2312"/>
          <w:bCs/>
          <w:szCs w:val="21"/>
        </w:rPr>
        <w:t>公开表</w:t>
      </w:r>
      <w:r>
        <w:rPr>
          <w:rFonts w:hint="eastAsia" w:ascii="仿宋_GB2312" w:hAnsi="仿宋_GB2312" w:eastAsia="仿宋_GB2312" w:cs="仿宋_GB2312"/>
          <w:bCs/>
          <w:szCs w:val="21"/>
          <w:lang w:val="en-US" w:eastAsia="zh-CN"/>
        </w:rPr>
        <w:t>4</w:t>
      </w:r>
    </w:p>
    <w:p>
      <w:pPr>
        <w:pStyle w:val="2"/>
        <w:jc w:val="center"/>
        <w:outlineLvl w:val="1"/>
        <w:rPr>
          <w:rFonts w:hint="eastAsia" w:ascii="仿宋_GB2312" w:hAnsi="仿宋_GB2312" w:eastAsia="仿宋_GB2312" w:cs="仿宋_GB2312"/>
          <w:lang w:val="en-US" w:eastAsia="zh-CN"/>
        </w:rPr>
      </w:pPr>
      <w:bookmarkStart w:id="23" w:name="_Toc16162"/>
      <w:bookmarkStart w:id="24" w:name="_Toc5355"/>
      <w:r>
        <w:rPr>
          <w:rFonts w:hint="eastAsia" w:ascii="仿宋_GB2312" w:hAnsi="仿宋_GB2312" w:eastAsia="仿宋_GB2312" w:cs="仿宋_GB2312"/>
          <w:i w:val="0"/>
          <w:iCs w:val="0"/>
          <w:color w:val="000000"/>
          <w:kern w:val="0"/>
          <w:sz w:val="44"/>
          <w:szCs w:val="44"/>
          <w:u w:val="none"/>
          <w:lang w:val="en-US" w:eastAsia="zh-CN" w:bidi="ar"/>
        </w:rPr>
        <w:t>2023</w:t>
      </w:r>
      <w:bookmarkEnd w:id="23"/>
      <w:bookmarkEnd w:id="24"/>
      <w:r>
        <w:rPr>
          <w:rFonts w:ascii="仿宋_GB2312" w:hAnsi="仿宋_GB2312" w:eastAsia="仿宋_GB2312" w:cs="仿宋_GB2312"/>
          <w:color w:val="000000"/>
          <w:sz w:val="44"/>
        </w:rPr>
        <w:t>年单位财政拨款收支预算总表</w:t>
      </w:r>
    </w:p>
    <w:tbl>
      <w:tblPr>
        <w:tblStyle w:val="13"/>
        <w:tblW w:w="11148" w:type="dxa"/>
        <w:tblInd w:w="-1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82"/>
        <w:gridCol w:w="1395"/>
        <w:gridCol w:w="4161"/>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738" w:type="dxa"/>
            <w:gridSpan w:val="3"/>
            <w:tcBorders>
              <w:top w:val="nil"/>
              <w:left w:val="nil"/>
              <w:bottom w:val="nil"/>
              <w:right w:val="nil"/>
            </w:tcBorders>
            <w:shd w:val="clear" w:color="auto" w:fill="auto"/>
            <w:noWrap/>
            <w:vAlign w:val="center"/>
          </w:tcPr>
          <w:p>
            <w:pP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bCs/>
                <w:szCs w:val="21"/>
                <w:lang w:eastAsia="zh-CN"/>
              </w:rPr>
              <w:t>单位</w:t>
            </w:r>
            <w:r>
              <w:rPr>
                <w:rFonts w:ascii="仿宋_GB2312" w:hAnsi="仿宋_GB2312" w:eastAsia="仿宋_GB2312" w:cs="仿宋_GB2312"/>
              </w:rPr>
              <w:t>名称：温州市妇女儿童活动中心</w:t>
            </w:r>
          </w:p>
        </w:tc>
        <w:tc>
          <w:tcPr>
            <w:tcW w:w="141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5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收                    入</w:t>
            </w:r>
          </w:p>
        </w:tc>
        <w:tc>
          <w:tcPr>
            <w:tcW w:w="55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 w:hRule="atLeast"/>
        </w:trPr>
        <w:tc>
          <w:tcPr>
            <w:tcW w:w="4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ascii="仿宋_GB2312" w:hAnsi="仿宋_GB2312" w:eastAsia="仿宋_GB2312" w:cs="仿宋_GB2312"/>
                <w:color w:val="000000"/>
                <w:sz w:val="20"/>
              </w:rPr>
              <w:t>项       目</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预算数</w:t>
            </w:r>
          </w:p>
        </w:tc>
        <w:tc>
          <w:tcPr>
            <w:tcW w:w="4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项    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4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一、财政拨款</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880.59</w:t>
            </w:r>
          </w:p>
        </w:tc>
        <w:tc>
          <w:tcPr>
            <w:tcW w:w="4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一般公共服务支出</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705.46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4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一般公共预算</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880.59</w:t>
            </w:r>
          </w:p>
        </w:tc>
        <w:tc>
          <w:tcPr>
            <w:tcW w:w="4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群众团体事务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705.46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4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政府性基金预算</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事业运行</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556.66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4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国有资本经营预算</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其他群众团体事务支出</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148.80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4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社会保障和就业支出</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4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行政事业单位养老支出</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4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机关事业单位基本养老保险缴费支出</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4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机关事业单位职业年金缴费支出</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4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卫生健康支出</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4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行政事业单位医疗</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4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事业单位医疗</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4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公务员医疗补助</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15.51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4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住房保障支出</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4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住房改革支出</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4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住房公积金</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4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p>
        </w:tc>
        <w:tc>
          <w:tcPr>
            <w:tcW w:w="4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购房补贴</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4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收  入  总  计</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880.59</w:t>
            </w:r>
          </w:p>
        </w:tc>
        <w:tc>
          <w:tcPr>
            <w:tcW w:w="4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支  出  总  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880.59</w:t>
            </w:r>
          </w:p>
        </w:tc>
      </w:tr>
    </w:tbl>
    <w:p>
      <w:pPr>
        <w:rPr>
          <w:rFonts w:hint="eastAsia" w:ascii="仿宋_GB2312" w:hAnsi="仿宋_GB2312" w:eastAsia="仿宋_GB2312" w:cs="仿宋_GB2312"/>
        </w:rPr>
      </w:pPr>
    </w:p>
    <w:p>
      <w:pPr>
        <w:pStyle w:val="2"/>
        <w:rPr>
          <w:rFonts w:hint="eastAsia" w:ascii="仿宋_GB2312" w:hAnsi="仿宋_GB2312" w:eastAsia="仿宋_GB2312" w:cs="仿宋_GB2312"/>
        </w:rPr>
        <w:sectPr>
          <w:pgSz w:w="11906" w:h="16838"/>
          <w:pgMar w:top="720" w:right="720" w:bottom="720" w:left="720" w:header="851" w:footer="992" w:gutter="0"/>
          <w:pgNumType w:fmt="decimal"/>
          <w:cols w:space="425" w:num="1"/>
          <w:docGrid w:type="lines" w:linePitch="312" w:charSpace="0"/>
        </w:sectPr>
      </w:pPr>
    </w:p>
    <w:p>
      <w:pPr>
        <w:jc w:val="right"/>
        <w:rPr>
          <w:rFonts w:hint="eastAsia" w:ascii="仿宋_GB2312" w:hAnsi="仿宋_GB2312" w:eastAsia="仿宋_GB2312" w:cs="仿宋_GB2312"/>
          <w:bCs/>
          <w:szCs w:val="21"/>
          <w:lang w:val="en-US" w:eastAsia="zh-CN"/>
        </w:rPr>
      </w:pPr>
      <w:r>
        <w:rPr>
          <w:rFonts w:hint="eastAsia" w:ascii="仿宋_GB2312" w:hAnsi="仿宋_GB2312" w:eastAsia="仿宋_GB2312" w:cs="仿宋_GB2312"/>
          <w:bCs/>
          <w:szCs w:val="21"/>
        </w:rPr>
        <w:t>公开表</w:t>
      </w:r>
      <w:r>
        <w:rPr>
          <w:rFonts w:hint="eastAsia" w:ascii="仿宋_GB2312" w:hAnsi="仿宋_GB2312" w:eastAsia="仿宋_GB2312" w:cs="仿宋_GB2312"/>
          <w:bCs/>
          <w:szCs w:val="21"/>
          <w:lang w:val="en-US" w:eastAsia="zh-CN"/>
        </w:rPr>
        <w:t>5</w:t>
      </w:r>
    </w:p>
    <w:p>
      <w:pPr>
        <w:pStyle w:val="2"/>
        <w:jc w:val="center"/>
        <w:outlineLvl w:val="1"/>
        <w:rPr>
          <w:rFonts w:hint="eastAsia" w:ascii="仿宋_GB2312" w:hAnsi="仿宋_GB2312" w:eastAsia="仿宋_GB2312" w:cs="仿宋_GB2312"/>
          <w:lang w:val="en-US" w:eastAsia="zh-CN"/>
        </w:rPr>
      </w:pPr>
      <w:bookmarkStart w:id="25" w:name="_Toc11424"/>
      <w:bookmarkStart w:id="26" w:name="_Toc29270"/>
      <w:r>
        <w:rPr>
          <w:rFonts w:hint="eastAsia" w:ascii="仿宋_GB2312" w:hAnsi="仿宋_GB2312" w:eastAsia="仿宋_GB2312" w:cs="仿宋_GB2312"/>
          <w:i w:val="0"/>
          <w:iCs w:val="0"/>
          <w:color w:val="000000"/>
          <w:kern w:val="0"/>
          <w:sz w:val="44"/>
          <w:szCs w:val="44"/>
          <w:u w:val="none"/>
          <w:lang w:val="en-US" w:eastAsia="zh-CN" w:bidi="ar"/>
        </w:rPr>
        <w:t>2023</w:t>
      </w:r>
      <w:bookmarkEnd w:id="25"/>
      <w:bookmarkEnd w:id="26"/>
      <w:r>
        <w:rPr>
          <w:rFonts w:ascii="仿宋_GB2312" w:hAnsi="仿宋_GB2312" w:eastAsia="仿宋_GB2312" w:cs="仿宋_GB2312"/>
          <w:color w:val="000000"/>
          <w:sz w:val="44"/>
        </w:rPr>
        <w:t>年单位一般公共预算支出表</w:t>
      </w:r>
    </w:p>
    <w:tbl>
      <w:tblPr>
        <w:tblStyle w:val="13"/>
        <w:tblW w:w="104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00"/>
        <w:gridCol w:w="2696"/>
        <w:gridCol w:w="1516"/>
        <w:gridCol w:w="1373"/>
        <w:gridCol w:w="1329"/>
        <w:gridCol w:w="1121"/>
        <w:gridCol w:w="1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314" w:type="dxa"/>
            <w:gridSpan w:val="5"/>
            <w:tcBorders>
              <w:top w:val="nil"/>
              <w:left w:val="nil"/>
              <w:bottom w:val="nil"/>
              <w:right w:val="nil"/>
            </w:tcBorders>
            <w:shd w:val="clear" w:color="auto" w:fill="auto"/>
            <w:noWrap/>
            <w:vAlign w:val="center"/>
          </w:tcPr>
          <w:p>
            <w:pP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bCs/>
                <w:szCs w:val="21"/>
                <w:lang w:eastAsia="zh-CN"/>
              </w:rPr>
              <w:t>单位</w:t>
            </w:r>
            <w:r>
              <w:rPr>
                <w:rFonts w:ascii="仿宋_GB2312" w:hAnsi="仿宋_GB2312" w:eastAsia="仿宋_GB2312" w:cs="仿宋_GB2312"/>
              </w:rPr>
              <w:t>名称：温州市妇女儿童活动中心</w:t>
            </w:r>
          </w:p>
        </w:tc>
        <w:tc>
          <w:tcPr>
            <w:tcW w:w="2146"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科目编码</w:t>
            </w:r>
          </w:p>
        </w:tc>
        <w:tc>
          <w:tcPr>
            <w:tcW w:w="2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科目名称</w:t>
            </w:r>
          </w:p>
        </w:tc>
        <w:tc>
          <w:tcPr>
            <w:tcW w:w="1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合  计</w:t>
            </w:r>
          </w:p>
        </w:tc>
        <w:tc>
          <w:tcPr>
            <w:tcW w:w="3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基本支出</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2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小计</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人员经费</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公用经费</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26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5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13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w:t>
            </w:r>
          </w:p>
        </w:tc>
        <w:tc>
          <w:tcPr>
            <w:tcW w:w="13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w:t>
            </w:r>
          </w:p>
        </w:tc>
        <w:tc>
          <w:tcPr>
            <w:tcW w:w="112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26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ascii="仿宋_GB2312" w:hAnsi="仿宋_GB2312" w:eastAsia="仿宋_GB2312" w:cs="仿宋_GB2312"/>
                <w:color w:val="000000"/>
                <w:sz w:val="20"/>
              </w:rPr>
              <w:t>合计</w:t>
            </w:r>
          </w:p>
        </w:tc>
        <w:tc>
          <w:tcPr>
            <w:tcW w:w="15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880.59</w:t>
            </w:r>
          </w:p>
        </w:tc>
        <w:tc>
          <w:tcPr>
            <w:tcW w:w="13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731.79</w:t>
            </w:r>
          </w:p>
        </w:tc>
        <w:tc>
          <w:tcPr>
            <w:tcW w:w="13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668.88</w:t>
            </w:r>
          </w:p>
        </w:tc>
        <w:tc>
          <w:tcPr>
            <w:tcW w:w="112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62.91</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148.80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 w:hRule="atLeast"/>
        </w:trPr>
        <w:tc>
          <w:tcPr>
            <w:tcW w:w="14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201</w:t>
            </w:r>
          </w:p>
        </w:tc>
        <w:tc>
          <w:tcPr>
            <w:tcW w:w="26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一般公共服务支出</w:t>
            </w:r>
          </w:p>
        </w:tc>
        <w:tc>
          <w:tcPr>
            <w:tcW w:w="151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705.46</w:t>
            </w:r>
          </w:p>
        </w:tc>
        <w:tc>
          <w:tcPr>
            <w:tcW w:w="13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556.66</w:t>
            </w:r>
          </w:p>
        </w:tc>
        <w:tc>
          <w:tcPr>
            <w:tcW w:w="132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493.75</w:t>
            </w:r>
          </w:p>
        </w:tc>
        <w:tc>
          <w:tcPr>
            <w:tcW w:w="112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62.91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148.80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 w:hRule="atLeast"/>
        </w:trPr>
        <w:tc>
          <w:tcPr>
            <w:tcW w:w="14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20129</w:t>
            </w:r>
          </w:p>
        </w:tc>
        <w:tc>
          <w:tcPr>
            <w:tcW w:w="26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群众团体事务</w:t>
            </w:r>
          </w:p>
        </w:tc>
        <w:tc>
          <w:tcPr>
            <w:tcW w:w="151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705.46</w:t>
            </w:r>
          </w:p>
        </w:tc>
        <w:tc>
          <w:tcPr>
            <w:tcW w:w="13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556.66</w:t>
            </w:r>
          </w:p>
        </w:tc>
        <w:tc>
          <w:tcPr>
            <w:tcW w:w="132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493.75</w:t>
            </w:r>
          </w:p>
        </w:tc>
        <w:tc>
          <w:tcPr>
            <w:tcW w:w="112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62.91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148.80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 w:hRule="atLeast"/>
        </w:trPr>
        <w:tc>
          <w:tcPr>
            <w:tcW w:w="14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2012950</w:t>
            </w:r>
          </w:p>
        </w:tc>
        <w:tc>
          <w:tcPr>
            <w:tcW w:w="26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事业运行</w:t>
            </w:r>
          </w:p>
        </w:tc>
        <w:tc>
          <w:tcPr>
            <w:tcW w:w="151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556.66</w:t>
            </w:r>
          </w:p>
        </w:tc>
        <w:tc>
          <w:tcPr>
            <w:tcW w:w="13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556.66</w:t>
            </w:r>
          </w:p>
        </w:tc>
        <w:tc>
          <w:tcPr>
            <w:tcW w:w="132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493.75</w:t>
            </w:r>
          </w:p>
        </w:tc>
        <w:tc>
          <w:tcPr>
            <w:tcW w:w="112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62.91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 w:hRule="atLeast"/>
        </w:trPr>
        <w:tc>
          <w:tcPr>
            <w:tcW w:w="14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2012999</w:t>
            </w:r>
          </w:p>
        </w:tc>
        <w:tc>
          <w:tcPr>
            <w:tcW w:w="26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其他群众团体事务支出</w:t>
            </w:r>
          </w:p>
        </w:tc>
        <w:tc>
          <w:tcPr>
            <w:tcW w:w="151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148.80</w:t>
            </w:r>
          </w:p>
        </w:tc>
        <w:tc>
          <w:tcPr>
            <w:tcW w:w="13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p>
        </w:tc>
        <w:tc>
          <w:tcPr>
            <w:tcW w:w="132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p>
        </w:tc>
        <w:tc>
          <w:tcPr>
            <w:tcW w:w="112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148.80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 w:hRule="atLeast"/>
        </w:trPr>
        <w:tc>
          <w:tcPr>
            <w:tcW w:w="14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208</w:t>
            </w:r>
          </w:p>
        </w:tc>
        <w:tc>
          <w:tcPr>
            <w:tcW w:w="26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社会保障和就业支出</w:t>
            </w:r>
          </w:p>
        </w:tc>
        <w:tc>
          <w:tcPr>
            <w:tcW w:w="151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74.58</w:t>
            </w:r>
          </w:p>
        </w:tc>
        <w:tc>
          <w:tcPr>
            <w:tcW w:w="13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74.58</w:t>
            </w:r>
          </w:p>
        </w:tc>
        <w:tc>
          <w:tcPr>
            <w:tcW w:w="132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74.58</w:t>
            </w:r>
          </w:p>
        </w:tc>
        <w:tc>
          <w:tcPr>
            <w:tcW w:w="112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 w:hRule="atLeast"/>
        </w:trPr>
        <w:tc>
          <w:tcPr>
            <w:tcW w:w="14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20805</w:t>
            </w:r>
          </w:p>
        </w:tc>
        <w:tc>
          <w:tcPr>
            <w:tcW w:w="26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行政事业单位养老支出</w:t>
            </w:r>
          </w:p>
        </w:tc>
        <w:tc>
          <w:tcPr>
            <w:tcW w:w="151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74.58</w:t>
            </w:r>
          </w:p>
        </w:tc>
        <w:tc>
          <w:tcPr>
            <w:tcW w:w="13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74.58</w:t>
            </w:r>
          </w:p>
        </w:tc>
        <w:tc>
          <w:tcPr>
            <w:tcW w:w="132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74.58</w:t>
            </w:r>
          </w:p>
        </w:tc>
        <w:tc>
          <w:tcPr>
            <w:tcW w:w="112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 w:hRule="atLeast"/>
        </w:trPr>
        <w:tc>
          <w:tcPr>
            <w:tcW w:w="14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2080505</w:t>
            </w:r>
          </w:p>
        </w:tc>
        <w:tc>
          <w:tcPr>
            <w:tcW w:w="26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机关事业单位基本养老保险缴费支出</w:t>
            </w:r>
          </w:p>
        </w:tc>
        <w:tc>
          <w:tcPr>
            <w:tcW w:w="151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49.72</w:t>
            </w:r>
          </w:p>
        </w:tc>
        <w:tc>
          <w:tcPr>
            <w:tcW w:w="13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49.72</w:t>
            </w:r>
          </w:p>
        </w:tc>
        <w:tc>
          <w:tcPr>
            <w:tcW w:w="132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49.72</w:t>
            </w:r>
          </w:p>
        </w:tc>
        <w:tc>
          <w:tcPr>
            <w:tcW w:w="112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 w:hRule="atLeast"/>
        </w:trPr>
        <w:tc>
          <w:tcPr>
            <w:tcW w:w="14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2080506</w:t>
            </w:r>
          </w:p>
        </w:tc>
        <w:tc>
          <w:tcPr>
            <w:tcW w:w="26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机关事业单位职业年金缴费支出</w:t>
            </w:r>
          </w:p>
        </w:tc>
        <w:tc>
          <w:tcPr>
            <w:tcW w:w="151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24.86</w:t>
            </w:r>
          </w:p>
        </w:tc>
        <w:tc>
          <w:tcPr>
            <w:tcW w:w="13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24.86</w:t>
            </w:r>
          </w:p>
        </w:tc>
        <w:tc>
          <w:tcPr>
            <w:tcW w:w="132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24.86</w:t>
            </w:r>
          </w:p>
        </w:tc>
        <w:tc>
          <w:tcPr>
            <w:tcW w:w="112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 w:hRule="atLeast"/>
        </w:trPr>
        <w:tc>
          <w:tcPr>
            <w:tcW w:w="14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210</w:t>
            </w:r>
          </w:p>
        </w:tc>
        <w:tc>
          <w:tcPr>
            <w:tcW w:w="26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卫生健康支出</w:t>
            </w:r>
          </w:p>
        </w:tc>
        <w:tc>
          <w:tcPr>
            <w:tcW w:w="151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35.82</w:t>
            </w:r>
          </w:p>
        </w:tc>
        <w:tc>
          <w:tcPr>
            <w:tcW w:w="13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35.82</w:t>
            </w:r>
          </w:p>
        </w:tc>
        <w:tc>
          <w:tcPr>
            <w:tcW w:w="132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35.82</w:t>
            </w:r>
          </w:p>
        </w:tc>
        <w:tc>
          <w:tcPr>
            <w:tcW w:w="112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 w:hRule="atLeast"/>
        </w:trPr>
        <w:tc>
          <w:tcPr>
            <w:tcW w:w="14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21011</w:t>
            </w:r>
          </w:p>
        </w:tc>
        <w:tc>
          <w:tcPr>
            <w:tcW w:w="26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行政事业单位医疗</w:t>
            </w:r>
          </w:p>
        </w:tc>
        <w:tc>
          <w:tcPr>
            <w:tcW w:w="151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35.82</w:t>
            </w:r>
          </w:p>
        </w:tc>
        <w:tc>
          <w:tcPr>
            <w:tcW w:w="13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35.82</w:t>
            </w:r>
          </w:p>
        </w:tc>
        <w:tc>
          <w:tcPr>
            <w:tcW w:w="132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35.82</w:t>
            </w:r>
          </w:p>
        </w:tc>
        <w:tc>
          <w:tcPr>
            <w:tcW w:w="112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14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2101102</w:t>
            </w:r>
          </w:p>
        </w:tc>
        <w:tc>
          <w:tcPr>
            <w:tcW w:w="26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事业单位医疗</w:t>
            </w:r>
          </w:p>
        </w:tc>
        <w:tc>
          <w:tcPr>
            <w:tcW w:w="151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20.31</w:t>
            </w:r>
          </w:p>
        </w:tc>
        <w:tc>
          <w:tcPr>
            <w:tcW w:w="13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20.31</w:t>
            </w:r>
          </w:p>
        </w:tc>
        <w:tc>
          <w:tcPr>
            <w:tcW w:w="132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20.31</w:t>
            </w:r>
          </w:p>
        </w:tc>
        <w:tc>
          <w:tcPr>
            <w:tcW w:w="112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14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2101103</w:t>
            </w:r>
          </w:p>
        </w:tc>
        <w:tc>
          <w:tcPr>
            <w:tcW w:w="26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公务员医疗补助</w:t>
            </w:r>
          </w:p>
        </w:tc>
        <w:tc>
          <w:tcPr>
            <w:tcW w:w="151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15.51</w:t>
            </w:r>
          </w:p>
        </w:tc>
        <w:tc>
          <w:tcPr>
            <w:tcW w:w="13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15.51</w:t>
            </w:r>
          </w:p>
        </w:tc>
        <w:tc>
          <w:tcPr>
            <w:tcW w:w="132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15.51</w:t>
            </w:r>
          </w:p>
        </w:tc>
        <w:tc>
          <w:tcPr>
            <w:tcW w:w="112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14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221</w:t>
            </w:r>
          </w:p>
        </w:tc>
        <w:tc>
          <w:tcPr>
            <w:tcW w:w="26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住房保障支出</w:t>
            </w:r>
          </w:p>
        </w:tc>
        <w:tc>
          <w:tcPr>
            <w:tcW w:w="151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64.73</w:t>
            </w:r>
          </w:p>
        </w:tc>
        <w:tc>
          <w:tcPr>
            <w:tcW w:w="13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64.73</w:t>
            </w:r>
          </w:p>
        </w:tc>
        <w:tc>
          <w:tcPr>
            <w:tcW w:w="132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64.73</w:t>
            </w:r>
          </w:p>
        </w:tc>
        <w:tc>
          <w:tcPr>
            <w:tcW w:w="112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14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22102</w:t>
            </w:r>
          </w:p>
        </w:tc>
        <w:tc>
          <w:tcPr>
            <w:tcW w:w="26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住房改革支出</w:t>
            </w:r>
          </w:p>
        </w:tc>
        <w:tc>
          <w:tcPr>
            <w:tcW w:w="151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64.73</w:t>
            </w:r>
          </w:p>
        </w:tc>
        <w:tc>
          <w:tcPr>
            <w:tcW w:w="13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64.73</w:t>
            </w:r>
          </w:p>
        </w:tc>
        <w:tc>
          <w:tcPr>
            <w:tcW w:w="132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64.73</w:t>
            </w:r>
          </w:p>
        </w:tc>
        <w:tc>
          <w:tcPr>
            <w:tcW w:w="112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14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2210201</w:t>
            </w:r>
          </w:p>
        </w:tc>
        <w:tc>
          <w:tcPr>
            <w:tcW w:w="26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住房公积金</w:t>
            </w:r>
          </w:p>
        </w:tc>
        <w:tc>
          <w:tcPr>
            <w:tcW w:w="151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53.23</w:t>
            </w:r>
          </w:p>
        </w:tc>
        <w:tc>
          <w:tcPr>
            <w:tcW w:w="13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53.23</w:t>
            </w:r>
          </w:p>
        </w:tc>
        <w:tc>
          <w:tcPr>
            <w:tcW w:w="132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53.23</w:t>
            </w:r>
          </w:p>
        </w:tc>
        <w:tc>
          <w:tcPr>
            <w:tcW w:w="112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14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2210203</w:t>
            </w:r>
          </w:p>
        </w:tc>
        <w:tc>
          <w:tcPr>
            <w:tcW w:w="26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购房补贴</w:t>
            </w:r>
          </w:p>
        </w:tc>
        <w:tc>
          <w:tcPr>
            <w:tcW w:w="151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11.50</w:t>
            </w:r>
          </w:p>
        </w:tc>
        <w:tc>
          <w:tcPr>
            <w:tcW w:w="13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11.50</w:t>
            </w:r>
          </w:p>
        </w:tc>
        <w:tc>
          <w:tcPr>
            <w:tcW w:w="132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11.50</w:t>
            </w:r>
          </w:p>
        </w:tc>
        <w:tc>
          <w:tcPr>
            <w:tcW w:w="112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p>
        </w:tc>
      </w:tr>
    </w:tbl>
    <w:p>
      <w:pPr>
        <w:pStyle w:val="2"/>
        <w:rPr>
          <w:rFonts w:hint="eastAsia" w:ascii="仿宋_GB2312" w:hAnsi="仿宋_GB2312" w:eastAsia="仿宋_GB2312" w:cs="仿宋_GB2312"/>
          <w:lang w:val="en-US" w:eastAsia="zh-CN"/>
        </w:rPr>
        <w:sectPr>
          <w:pgSz w:w="11906" w:h="16838"/>
          <w:pgMar w:top="720" w:right="720" w:bottom="720" w:left="720" w:header="851" w:footer="992" w:gutter="0"/>
          <w:pgNumType w:fmt="decimal"/>
          <w:cols w:space="425" w:num="1"/>
          <w:docGrid w:type="lines" w:linePitch="312" w:charSpace="0"/>
        </w:sectPr>
      </w:pPr>
    </w:p>
    <w:p>
      <w:pPr>
        <w:jc w:val="right"/>
        <w:rPr>
          <w:rFonts w:hint="eastAsia" w:ascii="仿宋_GB2312" w:hAnsi="仿宋_GB2312" w:eastAsia="仿宋_GB2312" w:cs="仿宋_GB2312"/>
          <w:bCs/>
          <w:szCs w:val="21"/>
          <w:lang w:val="en-US" w:eastAsia="zh-CN"/>
        </w:rPr>
      </w:pPr>
      <w:r>
        <w:rPr>
          <w:rFonts w:hint="eastAsia" w:ascii="仿宋_GB2312" w:hAnsi="仿宋_GB2312" w:eastAsia="仿宋_GB2312" w:cs="仿宋_GB2312"/>
          <w:bCs/>
          <w:szCs w:val="21"/>
        </w:rPr>
        <w:t>公开表</w:t>
      </w:r>
      <w:r>
        <w:rPr>
          <w:rFonts w:hint="eastAsia" w:ascii="仿宋_GB2312" w:hAnsi="仿宋_GB2312" w:eastAsia="仿宋_GB2312" w:cs="仿宋_GB2312"/>
          <w:bCs/>
          <w:szCs w:val="21"/>
          <w:lang w:val="en-US" w:eastAsia="zh-CN"/>
        </w:rPr>
        <w:t>6</w:t>
      </w:r>
    </w:p>
    <w:p>
      <w:pPr>
        <w:pStyle w:val="2"/>
        <w:jc w:val="center"/>
        <w:outlineLvl w:val="1"/>
        <w:rPr>
          <w:rFonts w:hint="eastAsia" w:ascii="仿宋_GB2312" w:hAnsi="仿宋_GB2312" w:eastAsia="仿宋_GB2312" w:cs="仿宋_GB2312"/>
          <w:lang w:eastAsia="zh-CN"/>
        </w:rPr>
      </w:pPr>
      <w:bookmarkStart w:id="27" w:name="_Toc2322"/>
      <w:bookmarkStart w:id="28" w:name="_Toc8807"/>
      <w:r>
        <w:rPr>
          <w:rFonts w:hint="eastAsia" w:ascii="仿宋_GB2312" w:hAnsi="仿宋_GB2312" w:eastAsia="仿宋_GB2312" w:cs="仿宋_GB2312"/>
          <w:i w:val="0"/>
          <w:iCs w:val="0"/>
          <w:color w:val="000000"/>
          <w:kern w:val="0"/>
          <w:sz w:val="44"/>
          <w:szCs w:val="44"/>
          <w:u w:val="none"/>
          <w:lang w:val="en-US" w:eastAsia="zh-CN" w:bidi="ar"/>
        </w:rPr>
        <w:t>2023</w:t>
      </w:r>
      <w:bookmarkEnd w:id="27"/>
      <w:bookmarkEnd w:id="28"/>
      <w:r>
        <w:rPr>
          <w:rFonts w:ascii="仿宋_GB2312" w:hAnsi="仿宋_GB2312" w:eastAsia="仿宋_GB2312" w:cs="仿宋_GB2312"/>
          <w:color w:val="000000"/>
          <w:sz w:val="44"/>
        </w:rPr>
        <w:t>年单位一般公共预算基本支出表</w:t>
      </w:r>
    </w:p>
    <w:tbl>
      <w:tblPr>
        <w:tblStyle w:val="13"/>
        <w:tblW w:w="104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61"/>
        <w:gridCol w:w="3861"/>
        <w:gridCol w:w="1657"/>
        <w:gridCol w:w="1748"/>
        <w:gridCol w:w="15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927" w:type="dxa"/>
            <w:gridSpan w:val="4"/>
            <w:tcBorders>
              <w:top w:val="nil"/>
              <w:left w:val="nil"/>
              <w:bottom w:val="nil"/>
              <w:right w:val="nil"/>
            </w:tcBorders>
            <w:shd w:val="clear" w:color="auto" w:fill="auto"/>
            <w:noWrap/>
            <w:vAlign w:val="center"/>
          </w:tcPr>
          <w:p>
            <w:pP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bCs/>
                <w:szCs w:val="21"/>
                <w:lang w:eastAsia="zh-CN"/>
              </w:rPr>
              <w:t>单位</w:t>
            </w:r>
            <w:r>
              <w:rPr>
                <w:rFonts w:ascii="仿宋_GB2312" w:hAnsi="仿宋_GB2312" w:eastAsia="仿宋_GB2312" w:cs="仿宋_GB2312"/>
              </w:rPr>
              <w:t>名称：温州市妇女儿童活动中心</w:t>
            </w:r>
          </w:p>
        </w:tc>
        <w:tc>
          <w:tcPr>
            <w:tcW w:w="1532"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经济分类科目</w:t>
            </w:r>
          </w:p>
        </w:tc>
        <w:tc>
          <w:tcPr>
            <w:tcW w:w="49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本年一般公共预算基本支出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科目编码</w:t>
            </w:r>
          </w:p>
        </w:tc>
        <w:tc>
          <w:tcPr>
            <w:tcW w:w="3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科目名称</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合计</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人员经费</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6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386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61"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c>
          <w:tcPr>
            <w:tcW w:w="38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ascii="仿宋_GB2312" w:hAnsi="仿宋_GB2312" w:eastAsia="仿宋_GB2312" w:cs="仿宋_GB2312"/>
                <w:color w:val="000000"/>
                <w:sz w:val="20"/>
              </w:rPr>
              <w:t>合计</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731.79</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668.88</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301</w:t>
            </w:r>
          </w:p>
        </w:tc>
        <w:tc>
          <w:tcPr>
            <w:tcW w:w="38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工资福利支出</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669.38</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666.38</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30101</w:t>
            </w:r>
          </w:p>
        </w:tc>
        <w:tc>
          <w:tcPr>
            <w:tcW w:w="38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基本工资</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122.83</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122.83</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30102</w:t>
            </w:r>
          </w:p>
        </w:tc>
        <w:tc>
          <w:tcPr>
            <w:tcW w:w="38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津贴补贴</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11.50</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11.50</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30103</w:t>
            </w:r>
          </w:p>
        </w:tc>
        <w:tc>
          <w:tcPr>
            <w:tcW w:w="38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奖金</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119.59</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119.59</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30107</w:t>
            </w:r>
          </w:p>
        </w:tc>
        <w:tc>
          <w:tcPr>
            <w:tcW w:w="38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绩效工资</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187.88</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187.88</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30108</w:t>
            </w:r>
          </w:p>
        </w:tc>
        <w:tc>
          <w:tcPr>
            <w:tcW w:w="38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机关事业单位基本养老保险缴费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49.72</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49.72</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30109</w:t>
            </w:r>
          </w:p>
        </w:tc>
        <w:tc>
          <w:tcPr>
            <w:tcW w:w="38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职业年金缴费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24.86</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24.86</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30110</w:t>
            </w:r>
          </w:p>
        </w:tc>
        <w:tc>
          <w:tcPr>
            <w:tcW w:w="38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职工基本医疗保险缴费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20.31</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20.31</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30111</w:t>
            </w:r>
          </w:p>
        </w:tc>
        <w:tc>
          <w:tcPr>
            <w:tcW w:w="38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公务员医疗补助缴费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15.51</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15.51</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30112</w:t>
            </w:r>
          </w:p>
        </w:tc>
        <w:tc>
          <w:tcPr>
            <w:tcW w:w="38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其他社会保障缴费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5.49</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5.49</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30113</w:t>
            </w:r>
          </w:p>
        </w:tc>
        <w:tc>
          <w:tcPr>
            <w:tcW w:w="38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住房公积金</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53.23</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53.23</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30199</w:t>
            </w:r>
          </w:p>
        </w:tc>
        <w:tc>
          <w:tcPr>
            <w:tcW w:w="38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其他工资福利支出</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58.46</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55.46</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302</w:t>
            </w:r>
          </w:p>
        </w:tc>
        <w:tc>
          <w:tcPr>
            <w:tcW w:w="38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商品和服务支出</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60.01</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0.10</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59.91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30201</w:t>
            </w:r>
          </w:p>
        </w:tc>
        <w:tc>
          <w:tcPr>
            <w:tcW w:w="38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办公费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11.07</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30202</w:t>
            </w:r>
          </w:p>
        </w:tc>
        <w:tc>
          <w:tcPr>
            <w:tcW w:w="38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印刷费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30203</w:t>
            </w:r>
          </w:p>
        </w:tc>
        <w:tc>
          <w:tcPr>
            <w:tcW w:w="38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咨询费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30204</w:t>
            </w:r>
          </w:p>
        </w:tc>
        <w:tc>
          <w:tcPr>
            <w:tcW w:w="38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手续费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0.05</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30207</w:t>
            </w:r>
          </w:p>
        </w:tc>
        <w:tc>
          <w:tcPr>
            <w:tcW w:w="38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邮电费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2.00</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30211</w:t>
            </w:r>
          </w:p>
        </w:tc>
        <w:tc>
          <w:tcPr>
            <w:tcW w:w="38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差旅费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5.00</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30213</w:t>
            </w:r>
          </w:p>
        </w:tc>
        <w:tc>
          <w:tcPr>
            <w:tcW w:w="38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维修(护)费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30216</w:t>
            </w:r>
          </w:p>
        </w:tc>
        <w:tc>
          <w:tcPr>
            <w:tcW w:w="38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培训费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1.40</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30217</w:t>
            </w:r>
          </w:p>
        </w:tc>
        <w:tc>
          <w:tcPr>
            <w:tcW w:w="38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公务接待费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0.90</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30218</w:t>
            </w:r>
          </w:p>
        </w:tc>
        <w:tc>
          <w:tcPr>
            <w:tcW w:w="38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专用材料费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2.00</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30226</w:t>
            </w:r>
          </w:p>
        </w:tc>
        <w:tc>
          <w:tcPr>
            <w:tcW w:w="38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劳务费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3.00</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30227</w:t>
            </w:r>
          </w:p>
        </w:tc>
        <w:tc>
          <w:tcPr>
            <w:tcW w:w="38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委托业务费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3.00</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30228</w:t>
            </w:r>
          </w:p>
        </w:tc>
        <w:tc>
          <w:tcPr>
            <w:tcW w:w="38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工会经费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6.00</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30229</w:t>
            </w:r>
          </w:p>
        </w:tc>
        <w:tc>
          <w:tcPr>
            <w:tcW w:w="38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福利费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18.30</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30299</w:t>
            </w:r>
          </w:p>
        </w:tc>
        <w:tc>
          <w:tcPr>
            <w:tcW w:w="38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其他商品和服务支出</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4.29</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0.10</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303</w:t>
            </w:r>
          </w:p>
        </w:tc>
        <w:tc>
          <w:tcPr>
            <w:tcW w:w="38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对个人和家庭的补助</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2.40</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2.40</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30305</w:t>
            </w:r>
          </w:p>
        </w:tc>
        <w:tc>
          <w:tcPr>
            <w:tcW w:w="38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生活补助</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1.70</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1.70</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30399</w:t>
            </w:r>
          </w:p>
        </w:tc>
        <w:tc>
          <w:tcPr>
            <w:tcW w:w="38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其他对个人和家庭的补助</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0.70</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0.70</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r>
    </w:tbl>
    <w:p>
      <w:pPr>
        <w:pStyle w:val="2"/>
        <w:rPr>
          <w:rFonts w:hint="eastAsia" w:ascii="仿宋_GB2312" w:hAnsi="仿宋_GB2312" w:eastAsia="仿宋_GB2312" w:cs="仿宋_GB2312"/>
          <w:lang w:val="en-US" w:eastAsia="zh-CN"/>
        </w:rPr>
        <w:sectPr>
          <w:pgSz w:w="11906" w:h="16838"/>
          <w:pgMar w:top="720" w:right="720" w:bottom="720" w:left="720" w:header="851" w:footer="992" w:gutter="0"/>
          <w:pgNumType w:fmt="decimal"/>
          <w:cols w:space="425" w:num="1"/>
          <w:docGrid w:type="lines" w:linePitch="312" w:charSpace="0"/>
        </w:sectPr>
      </w:pPr>
    </w:p>
    <w:p>
      <w:pPr>
        <w:jc w:val="right"/>
        <w:rPr>
          <w:rFonts w:hint="eastAsia" w:ascii="仿宋_GB2312" w:hAnsi="仿宋_GB2312" w:eastAsia="仿宋_GB2312" w:cs="仿宋_GB2312"/>
          <w:bCs/>
          <w:szCs w:val="21"/>
          <w:lang w:val="en-US" w:eastAsia="zh-CN"/>
        </w:rPr>
      </w:pPr>
      <w:r>
        <w:rPr>
          <w:rFonts w:hint="eastAsia" w:ascii="仿宋_GB2312" w:hAnsi="仿宋_GB2312" w:eastAsia="仿宋_GB2312" w:cs="仿宋_GB2312"/>
          <w:bCs/>
          <w:szCs w:val="21"/>
        </w:rPr>
        <w:t>公开表</w:t>
      </w:r>
      <w:r>
        <w:rPr>
          <w:rFonts w:hint="eastAsia" w:ascii="仿宋_GB2312" w:hAnsi="仿宋_GB2312" w:eastAsia="仿宋_GB2312" w:cs="仿宋_GB2312"/>
          <w:bCs/>
          <w:szCs w:val="21"/>
          <w:lang w:val="en-US" w:eastAsia="zh-CN"/>
        </w:rPr>
        <w:t>7</w:t>
      </w:r>
    </w:p>
    <w:p>
      <w:pPr>
        <w:pStyle w:val="2"/>
        <w:jc w:val="center"/>
        <w:outlineLvl w:val="1"/>
        <w:rPr>
          <w:rFonts w:hint="eastAsia" w:ascii="仿宋_GB2312" w:hAnsi="仿宋_GB2312" w:eastAsia="仿宋_GB2312" w:cs="仿宋_GB2312"/>
          <w:lang w:val="en-US" w:eastAsia="zh-CN"/>
        </w:rPr>
      </w:pPr>
      <w:bookmarkStart w:id="29" w:name="_Toc23813"/>
      <w:bookmarkStart w:id="30" w:name="_Toc18187"/>
      <w:r>
        <w:rPr>
          <w:rFonts w:hint="eastAsia" w:ascii="仿宋_GB2312" w:hAnsi="仿宋_GB2312" w:eastAsia="仿宋_GB2312" w:cs="仿宋_GB2312"/>
          <w:i w:val="0"/>
          <w:iCs w:val="0"/>
          <w:color w:val="000000"/>
          <w:kern w:val="0"/>
          <w:sz w:val="44"/>
          <w:szCs w:val="44"/>
          <w:u w:val="none"/>
          <w:lang w:val="en-US" w:eastAsia="zh-CN" w:bidi="ar"/>
        </w:rPr>
        <w:t>2023</w:t>
      </w:r>
      <w:bookmarkEnd w:id="29"/>
      <w:bookmarkEnd w:id="30"/>
      <w:r>
        <w:rPr>
          <w:rFonts w:ascii="仿宋_GB2312" w:hAnsi="仿宋_GB2312" w:eastAsia="仿宋_GB2312" w:cs="仿宋_GB2312"/>
          <w:color w:val="000000"/>
          <w:sz w:val="44"/>
        </w:rPr>
        <w:t>年单位一般公共预算"三公"经费支出表</w:t>
      </w:r>
    </w:p>
    <w:tbl>
      <w:tblPr>
        <w:tblStyle w:val="13"/>
        <w:tblW w:w="4877" w:type="pct"/>
        <w:tblInd w:w="17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71"/>
        <w:gridCol w:w="1317"/>
        <w:gridCol w:w="1331"/>
        <w:gridCol w:w="1291"/>
        <w:gridCol w:w="1083"/>
        <w:gridCol w:w="1165"/>
        <w:gridCol w:w="9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979" w:type="pct"/>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bCs/>
                <w:szCs w:val="21"/>
                <w:lang w:eastAsia="zh-CN"/>
              </w:rPr>
              <w:t>单位</w:t>
            </w:r>
            <w:r>
              <w:rPr>
                <w:rFonts w:ascii="仿宋_GB2312" w:hAnsi="仿宋_GB2312" w:eastAsia="仿宋_GB2312" w:cs="仿宋_GB2312"/>
              </w:rPr>
              <w:t>名称：温州市妇女儿童活动中心</w:t>
            </w:r>
          </w:p>
        </w:tc>
        <w:tc>
          <w:tcPr>
            <w:tcW w:w="1020" w:type="pct"/>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15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单位名称</w:t>
            </w:r>
          </w:p>
        </w:tc>
        <w:tc>
          <w:tcPr>
            <w:tcW w:w="6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“三公”经费合计</w:t>
            </w:r>
          </w:p>
        </w:tc>
        <w:tc>
          <w:tcPr>
            <w:tcW w:w="6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因公出国(境)费用</w:t>
            </w:r>
          </w:p>
        </w:tc>
        <w:tc>
          <w:tcPr>
            <w:tcW w:w="169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公务用车购置及运行费</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小计</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公务用车购置费</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公务用车运行维护费</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 w:hRule="atLeast"/>
        </w:trPr>
        <w:tc>
          <w:tcPr>
            <w:tcW w:w="1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7" w:hRule="atLeast"/>
        </w:trPr>
        <w:tc>
          <w:tcPr>
            <w:tcW w:w="1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ascii="仿宋_GB2312" w:hAnsi="仿宋_GB2312" w:eastAsia="仿宋_GB2312" w:cs="仿宋_GB2312"/>
                <w:color w:val="000000"/>
                <w:sz w:val="20"/>
              </w:rPr>
              <w:t>合计</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0.90</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温州市妇女儿童活动中心</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0.90</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0.90</w:t>
            </w:r>
          </w:p>
        </w:tc>
      </w:tr>
    </w:tbl>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备注：根据《温州市财政局关于明确因公出国（境）经费审批意见的通知》（温财外〔2018〕41号）文件精神，因公出国（境）经费实行归口管理，由市财政统筹安排，不再单独安排预算进行公开。</w:t>
      </w:r>
    </w:p>
    <w:p>
      <w:pPr>
        <w:pStyle w:val="2"/>
        <w:rPr>
          <w:rFonts w:hint="eastAsia" w:ascii="仿宋_GB2312" w:hAnsi="仿宋_GB2312" w:eastAsia="仿宋_GB2312" w:cs="仿宋_GB2312"/>
        </w:rPr>
        <w:sectPr>
          <w:pgSz w:w="11906" w:h="16838"/>
          <w:pgMar w:top="720" w:right="720" w:bottom="720" w:left="720" w:header="851" w:footer="992" w:gutter="0"/>
          <w:pgNumType w:fmt="decimal"/>
          <w:cols w:space="425" w:num="1"/>
          <w:docGrid w:type="lines" w:linePitch="312" w:charSpace="0"/>
        </w:sectPr>
      </w:pPr>
    </w:p>
    <w:p>
      <w:pPr>
        <w:jc w:val="right"/>
        <w:rPr>
          <w:rFonts w:hint="eastAsia" w:ascii="仿宋_GB2312" w:hAnsi="仿宋_GB2312" w:eastAsia="仿宋_GB2312" w:cs="仿宋_GB2312"/>
          <w:bCs/>
          <w:szCs w:val="21"/>
          <w:lang w:val="en-US" w:eastAsia="zh-CN"/>
        </w:rPr>
      </w:pPr>
      <w:r>
        <w:rPr>
          <w:rFonts w:hint="eastAsia" w:ascii="仿宋_GB2312" w:hAnsi="仿宋_GB2312" w:eastAsia="仿宋_GB2312" w:cs="仿宋_GB2312"/>
          <w:bCs/>
          <w:szCs w:val="21"/>
        </w:rPr>
        <w:t>公开表</w:t>
      </w:r>
      <w:r>
        <w:rPr>
          <w:rFonts w:hint="eastAsia" w:ascii="仿宋_GB2312" w:hAnsi="仿宋_GB2312" w:eastAsia="仿宋_GB2312" w:cs="仿宋_GB2312"/>
          <w:bCs/>
          <w:szCs w:val="21"/>
          <w:lang w:val="en-US" w:eastAsia="zh-CN"/>
        </w:rPr>
        <w:t>8</w:t>
      </w:r>
    </w:p>
    <w:p>
      <w:pPr>
        <w:pStyle w:val="2"/>
        <w:jc w:val="center"/>
        <w:outlineLvl w:val="1"/>
        <w:rPr>
          <w:rFonts w:hint="eastAsia" w:ascii="仿宋_GB2312" w:hAnsi="仿宋_GB2312" w:eastAsia="仿宋_GB2312" w:cs="仿宋_GB2312"/>
          <w:lang w:val="en-US" w:eastAsia="zh-CN"/>
        </w:rPr>
      </w:pPr>
      <w:bookmarkStart w:id="31" w:name="_Toc23849"/>
      <w:bookmarkStart w:id="32" w:name="_Toc20771"/>
      <w:r>
        <w:rPr>
          <w:rFonts w:hint="eastAsia" w:ascii="仿宋_GB2312" w:hAnsi="仿宋_GB2312" w:eastAsia="仿宋_GB2312" w:cs="仿宋_GB2312"/>
          <w:i w:val="0"/>
          <w:iCs w:val="0"/>
          <w:color w:val="000000"/>
          <w:kern w:val="0"/>
          <w:sz w:val="44"/>
          <w:szCs w:val="44"/>
          <w:u w:val="none"/>
          <w:lang w:val="en-US" w:eastAsia="zh-CN" w:bidi="ar"/>
        </w:rPr>
        <w:t>2023</w:t>
      </w:r>
      <w:bookmarkEnd w:id="31"/>
      <w:bookmarkEnd w:id="32"/>
      <w:r>
        <w:rPr>
          <w:rFonts w:ascii="仿宋_GB2312" w:hAnsi="仿宋_GB2312" w:eastAsia="仿宋_GB2312" w:cs="仿宋_GB2312"/>
          <w:color w:val="000000"/>
          <w:sz w:val="44"/>
        </w:rPr>
        <w:t>年单位政府性基金预算支出表</w:t>
      </w:r>
    </w:p>
    <w:tbl>
      <w:tblPr>
        <w:tblStyle w:val="13"/>
        <w:tblW w:w="4902" w:type="pct"/>
        <w:tblInd w:w="1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78"/>
        <w:gridCol w:w="4318"/>
        <w:gridCol w:w="2008"/>
        <w:gridCol w:w="1305"/>
        <w:gridCol w:w="1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4396" w:type="pct"/>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bCs/>
                <w:szCs w:val="21"/>
                <w:lang w:eastAsia="zh-CN"/>
              </w:rPr>
              <w:t>单位</w:t>
            </w:r>
            <w:r>
              <w:rPr>
                <w:rFonts w:ascii="仿宋_GB2312" w:hAnsi="仿宋_GB2312" w:eastAsia="仿宋_GB2312" w:cs="仿宋_GB2312"/>
              </w:rPr>
              <w:t>名称：温州市妇女儿童活动中心</w:t>
            </w:r>
          </w:p>
        </w:tc>
        <w:tc>
          <w:tcPr>
            <w:tcW w:w="603" w:type="pct"/>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 w:hRule="atLeast"/>
        </w:trPr>
        <w:tc>
          <w:tcPr>
            <w:tcW w:w="7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科目编码</w:t>
            </w:r>
          </w:p>
        </w:tc>
        <w:tc>
          <w:tcPr>
            <w:tcW w:w="20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科目名称</w:t>
            </w:r>
          </w:p>
        </w:tc>
        <w:tc>
          <w:tcPr>
            <w:tcW w:w="21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本年政府性基金预算支出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20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9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合  计</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基本支出</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75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206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9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3" w:type="pct"/>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仿宋_GB2312" w:hAnsi="仿宋_GB2312" w:eastAsia="仿宋_GB2312" w:cs="仿宋_GB2312"/>
                <w:i w:val="0"/>
                <w:iCs w:val="0"/>
                <w:color w:val="000000"/>
                <w:sz w:val="20"/>
                <w:szCs w:val="20"/>
                <w:u w:val="none"/>
              </w:rPr>
            </w:pPr>
          </w:p>
        </w:tc>
        <w:tc>
          <w:tcPr>
            <w:tcW w:w="206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ascii="仿宋_GB2312" w:hAnsi="仿宋_GB2312" w:eastAsia="仿宋_GB2312" w:cs="仿宋_GB2312"/>
                <w:color w:val="000000"/>
                <w:sz w:val="20"/>
              </w:rPr>
              <w:t>合计</w:t>
            </w:r>
          </w:p>
        </w:tc>
        <w:tc>
          <w:tcPr>
            <w:tcW w:w="958"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622"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p>
        </w:tc>
        <w:tc>
          <w:tcPr>
            <w:tcW w:w="206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p>
        </w:tc>
        <w:tc>
          <w:tcPr>
            <w:tcW w:w="958"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p>
        </w:tc>
        <w:tc>
          <w:tcPr>
            <w:tcW w:w="622"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p>
        </w:tc>
        <w:tc>
          <w:tcPr>
            <w:tcW w:w="206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p>
        </w:tc>
        <w:tc>
          <w:tcPr>
            <w:tcW w:w="958"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p>
        </w:tc>
        <w:tc>
          <w:tcPr>
            <w:tcW w:w="622"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p>
        </w:tc>
      </w:tr>
    </w:tbl>
    <w:p>
      <w:pPr>
        <w:pStyle w:val="2"/>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eastAsia="zh-CN"/>
        </w:rPr>
        <w:t>备注：</w:t>
      </w:r>
      <w:r>
        <w:rPr>
          <w:rFonts w:ascii="仿宋_GB2312" w:hAnsi="仿宋_GB2312" w:eastAsia="仿宋_GB2312" w:cs="仿宋_GB2312"/>
          <w:sz w:val="20"/>
        </w:rPr>
        <w:t>温州市妇女儿童活动中心</w:t>
      </w:r>
      <w:r>
        <w:rPr>
          <w:rFonts w:hint="eastAsia" w:ascii="仿宋_GB2312" w:hAnsi="仿宋_GB2312" w:eastAsia="仿宋_GB2312" w:cs="仿宋_GB2312"/>
          <w:sz w:val="20"/>
          <w:szCs w:val="20"/>
        </w:rPr>
        <w:t>没有</w:t>
      </w:r>
      <w:r>
        <w:rPr>
          <w:rFonts w:hint="eastAsia" w:ascii="仿宋_GB2312" w:hAnsi="仿宋_GB2312" w:eastAsia="仿宋_GB2312" w:cs="仿宋_GB2312"/>
          <w:sz w:val="20"/>
          <w:szCs w:val="20"/>
          <w:lang w:val="en-US" w:eastAsia="zh-CN"/>
        </w:rPr>
        <w:t>政府性基金预算</w:t>
      </w:r>
      <w:r>
        <w:rPr>
          <w:rFonts w:hint="eastAsia" w:ascii="仿宋_GB2312" w:hAnsi="仿宋_GB2312" w:eastAsia="仿宋_GB2312" w:cs="仿宋_GB2312"/>
          <w:sz w:val="20"/>
          <w:szCs w:val="20"/>
        </w:rPr>
        <w:t>拨款安排的支出，故本表无数据。</w:t>
      </w:r>
    </w:p>
    <w:p>
      <w:pPr>
        <w:pStyle w:val="2"/>
        <w:rPr>
          <w:rFonts w:hint="eastAsia" w:ascii="仿宋_GB2312" w:hAnsi="仿宋_GB2312" w:eastAsia="仿宋_GB2312" w:cs="仿宋_GB2312"/>
          <w:sz w:val="20"/>
          <w:szCs w:val="20"/>
          <w:lang w:val="en-US" w:eastAsia="zh-CN"/>
        </w:rPr>
        <w:sectPr>
          <w:pgSz w:w="11906" w:h="16838"/>
          <w:pgMar w:top="720" w:right="720" w:bottom="720" w:left="720" w:header="851" w:footer="992" w:gutter="0"/>
          <w:pgNumType w:fmt="decimal"/>
          <w:cols w:space="425" w:num="1"/>
          <w:docGrid w:type="lines" w:linePitch="312" w:charSpace="0"/>
        </w:sectPr>
      </w:pPr>
    </w:p>
    <w:p>
      <w:pPr>
        <w:jc w:val="right"/>
        <w:rPr>
          <w:rFonts w:hint="eastAsia" w:ascii="仿宋_GB2312" w:hAnsi="仿宋_GB2312" w:eastAsia="仿宋_GB2312" w:cs="仿宋_GB2312"/>
          <w:bCs/>
          <w:szCs w:val="21"/>
          <w:lang w:val="en-US" w:eastAsia="zh-CN"/>
        </w:rPr>
      </w:pPr>
      <w:r>
        <w:rPr>
          <w:rFonts w:hint="eastAsia" w:ascii="仿宋_GB2312" w:hAnsi="仿宋_GB2312" w:eastAsia="仿宋_GB2312" w:cs="仿宋_GB2312"/>
          <w:bCs/>
          <w:szCs w:val="21"/>
        </w:rPr>
        <w:t>公开表</w:t>
      </w:r>
      <w:r>
        <w:rPr>
          <w:rFonts w:hint="eastAsia" w:ascii="仿宋_GB2312" w:hAnsi="仿宋_GB2312" w:eastAsia="仿宋_GB2312" w:cs="仿宋_GB2312"/>
          <w:bCs/>
          <w:szCs w:val="21"/>
          <w:lang w:val="en-US" w:eastAsia="zh-CN"/>
        </w:rPr>
        <w:t>9</w:t>
      </w:r>
    </w:p>
    <w:p>
      <w:pPr>
        <w:pStyle w:val="2"/>
        <w:jc w:val="center"/>
        <w:outlineLvl w:val="1"/>
        <w:rPr>
          <w:rFonts w:hint="eastAsia" w:ascii="仿宋_GB2312" w:hAnsi="仿宋_GB2312" w:eastAsia="仿宋_GB2312" w:cs="仿宋_GB2312"/>
          <w:lang w:val="en-US" w:eastAsia="zh-CN"/>
        </w:rPr>
      </w:pPr>
      <w:bookmarkStart w:id="33" w:name="_Toc27907"/>
      <w:bookmarkStart w:id="34" w:name="_Toc23415"/>
      <w:r>
        <w:rPr>
          <w:rFonts w:hint="eastAsia" w:ascii="仿宋_GB2312" w:hAnsi="仿宋_GB2312" w:eastAsia="仿宋_GB2312" w:cs="仿宋_GB2312"/>
          <w:i w:val="0"/>
          <w:iCs w:val="0"/>
          <w:color w:val="000000"/>
          <w:kern w:val="0"/>
          <w:sz w:val="44"/>
          <w:szCs w:val="44"/>
          <w:u w:val="none"/>
          <w:lang w:val="en-US" w:eastAsia="zh-CN" w:bidi="ar"/>
        </w:rPr>
        <w:t>2023</w:t>
      </w:r>
      <w:bookmarkEnd w:id="33"/>
      <w:bookmarkEnd w:id="34"/>
      <w:r>
        <w:rPr>
          <w:rFonts w:ascii="仿宋_GB2312" w:hAnsi="仿宋_GB2312" w:eastAsia="仿宋_GB2312" w:cs="仿宋_GB2312"/>
          <w:color w:val="000000"/>
          <w:sz w:val="44"/>
        </w:rPr>
        <w:t>年单位国有资本经营预算支出表</w:t>
      </w:r>
    </w:p>
    <w:tbl>
      <w:tblPr>
        <w:tblStyle w:val="13"/>
        <w:tblW w:w="4872" w:type="pct"/>
        <w:tblInd w:w="15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30"/>
        <w:gridCol w:w="5440"/>
        <w:gridCol w:w="27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7" w:hRule="atLeast"/>
        </w:trPr>
        <w:tc>
          <w:tcPr>
            <w:tcW w:w="3684" w:type="pct"/>
            <w:gridSpan w:val="2"/>
            <w:tcBorders>
              <w:top w:val="nil"/>
              <w:left w:val="nil"/>
              <w:bottom w:val="nil"/>
              <w:right w:val="nil"/>
            </w:tcBorders>
            <w:shd w:val="clear" w:color="auto" w:fill="auto"/>
            <w:noWrap/>
            <w:vAlign w:val="center"/>
          </w:tcPr>
          <w:p>
            <w:pP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bCs/>
                <w:szCs w:val="21"/>
                <w:lang w:eastAsia="zh-CN"/>
              </w:rPr>
              <w:t>单位</w:t>
            </w:r>
            <w:r>
              <w:rPr>
                <w:rFonts w:ascii="仿宋_GB2312" w:hAnsi="仿宋_GB2312" w:eastAsia="仿宋_GB2312" w:cs="仿宋_GB2312"/>
              </w:rPr>
              <w:t>名称：温州市妇女儿童活动中心</w:t>
            </w:r>
          </w:p>
        </w:tc>
        <w:tc>
          <w:tcPr>
            <w:tcW w:w="1315"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7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科目编码</w:t>
            </w:r>
          </w:p>
        </w:tc>
        <w:tc>
          <w:tcPr>
            <w:tcW w:w="261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科目名称</w:t>
            </w:r>
          </w:p>
        </w:tc>
        <w:tc>
          <w:tcPr>
            <w:tcW w:w="13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u w:val="none"/>
              </w:rPr>
            </w:pPr>
          </w:p>
        </w:tc>
        <w:tc>
          <w:tcPr>
            <w:tcW w:w="261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u w:val="none"/>
              </w:rPr>
            </w:pPr>
          </w:p>
        </w:tc>
        <w:tc>
          <w:tcPr>
            <w:tcW w:w="13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2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20"/>
                <w:szCs w:val="20"/>
                <w:u w:val="none"/>
              </w:rPr>
            </w:pPr>
          </w:p>
        </w:tc>
        <w:tc>
          <w:tcPr>
            <w:tcW w:w="2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ascii="仿宋_GB2312" w:hAnsi="仿宋_GB2312" w:eastAsia="仿宋_GB2312" w:cs="仿宋_GB2312"/>
                <w:color w:val="000000"/>
                <w:sz w:val="20"/>
              </w:rPr>
              <w:t>合计</w:t>
            </w:r>
          </w:p>
        </w:tc>
        <w:tc>
          <w:tcPr>
            <w:tcW w:w="1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p>
        </w:tc>
        <w:tc>
          <w:tcPr>
            <w:tcW w:w="2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3" w:hRule="atLeast"/>
        </w:trPr>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p>
        </w:tc>
        <w:tc>
          <w:tcPr>
            <w:tcW w:w="2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p>
        </w:tc>
      </w:tr>
    </w:tbl>
    <w:p>
      <w:pPr>
        <w:pStyle w:val="2"/>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eastAsia="zh-CN"/>
        </w:rPr>
        <w:t>备注：</w:t>
      </w:r>
      <w:r>
        <w:rPr>
          <w:rFonts w:ascii="仿宋_GB2312" w:hAnsi="仿宋_GB2312" w:eastAsia="仿宋_GB2312" w:cs="仿宋_GB2312"/>
          <w:sz w:val="20"/>
        </w:rPr>
        <w:t>温州市妇女儿童活动中心</w:t>
      </w:r>
      <w:r>
        <w:rPr>
          <w:rFonts w:hint="eastAsia" w:ascii="仿宋_GB2312" w:hAnsi="仿宋_GB2312" w:eastAsia="仿宋_GB2312" w:cs="仿宋_GB2312"/>
          <w:sz w:val="20"/>
          <w:szCs w:val="20"/>
        </w:rPr>
        <w:t>没有国有资本经营预算拨款安排的支出，故本表无数据。</w:t>
      </w:r>
    </w:p>
    <w:p>
      <w:pPr>
        <w:pStyle w:val="2"/>
        <w:rPr>
          <w:rFonts w:hint="eastAsia" w:ascii="仿宋_GB2312" w:hAnsi="仿宋_GB2312" w:eastAsia="仿宋_GB2312" w:cs="仿宋_GB2312"/>
          <w:sz w:val="20"/>
          <w:szCs w:val="20"/>
          <w:lang w:val="en-US" w:eastAsia="zh-CN"/>
        </w:rPr>
        <w:sectPr>
          <w:pgSz w:w="11906" w:h="16838"/>
          <w:pgMar w:top="720" w:right="720" w:bottom="720" w:left="720" w:header="851" w:footer="992" w:gutter="0"/>
          <w:pgNumType w:fmt="decimal"/>
          <w:cols w:space="425" w:num="1"/>
          <w:docGrid w:type="lines" w:linePitch="312" w:charSpace="0"/>
        </w:sectPr>
      </w:pPr>
    </w:p>
    <w:p>
      <w:pPr>
        <w:jc w:val="right"/>
        <w:rPr>
          <w:rFonts w:hint="eastAsia" w:ascii="仿宋_GB2312" w:hAnsi="仿宋_GB2312" w:eastAsia="仿宋_GB2312" w:cs="仿宋_GB2312"/>
          <w:bCs/>
          <w:szCs w:val="21"/>
          <w:lang w:val="en-US" w:eastAsia="zh-CN"/>
        </w:rPr>
      </w:pPr>
      <w:r>
        <w:rPr>
          <w:rFonts w:hint="eastAsia" w:ascii="仿宋_GB2312" w:hAnsi="仿宋_GB2312" w:eastAsia="仿宋_GB2312" w:cs="仿宋_GB2312"/>
          <w:bCs/>
          <w:szCs w:val="21"/>
        </w:rPr>
        <w:t>公开表</w:t>
      </w:r>
      <w:r>
        <w:rPr>
          <w:rFonts w:hint="eastAsia" w:ascii="仿宋_GB2312" w:hAnsi="仿宋_GB2312" w:eastAsia="仿宋_GB2312" w:cs="仿宋_GB2312"/>
          <w:bCs/>
          <w:szCs w:val="21"/>
          <w:lang w:val="en-US" w:eastAsia="zh-CN"/>
        </w:rPr>
        <w:t>10</w:t>
      </w:r>
    </w:p>
    <w:p>
      <w:pPr>
        <w:pStyle w:val="2"/>
        <w:jc w:val="center"/>
        <w:outlineLvl w:val="1"/>
        <w:rPr>
          <w:rFonts w:hint="eastAsia" w:ascii="仿宋_GB2312" w:hAnsi="仿宋_GB2312" w:eastAsia="仿宋_GB2312" w:cs="仿宋_GB2312"/>
          <w:lang w:val="en-US" w:eastAsia="zh-CN"/>
        </w:rPr>
      </w:pPr>
      <w:bookmarkStart w:id="35" w:name="_Toc19535"/>
      <w:bookmarkStart w:id="36" w:name="_Toc17500"/>
      <w:r>
        <w:rPr>
          <w:rFonts w:hint="eastAsia" w:ascii="仿宋_GB2312" w:hAnsi="仿宋_GB2312" w:eastAsia="仿宋_GB2312" w:cs="仿宋_GB2312"/>
          <w:i w:val="0"/>
          <w:iCs w:val="0"/>
          <w:color w:val="000000"/>
          <w:kern w:val="0"/>
          <w:sz w:val="44"/>
          <w:szCs w:val="44"/>
          <w:u w:val="none"/>
          <w:lang w:val="en-US" w:eastAsia="zh-CN" w:bidi="ar"/>
        </w:rPr>
        <w:t>2023</w:t>
      </w:r>
      <w:bookmarkEnd w:id="35"/>
      <w:bookmarkEnd w:id="36"/>
      <w:r>
        <w:rPr>
          <w:rFonts w:ascii="仿宋_GB2312" w:hAnsi="仿宋_GB2312" w:eastAsia="仿宋_GB2312" w:cs="仿宋_GB2312"/>
          <w:color w:val="000000"/>
          <w:sz w:val="44"/>
        </w:rPr>
        <w:t>年单位项目支出预算表</w:t>
      </w:r>
    </w:p>
    <w:tbl>
      <w:tblPr>
        <w:tblStyle w:val="13"/>
        <w:tblW w:w="4907" w:type="pct"/>
        <w:tblInd w:w="1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35"/>
        <w:gridCol w:w="4460"/>
        <w:gridCol w:w="1527"/>
        <w:gridCol w:w="1460"/>
        <w:gridCol w:w="1279"/>
        <w:gridCol w:w="1161"/>
        <w:gridCol w:w="1160"/>
        <w:gridCol w:w="10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009" w:type="pct"/>
            <w:gridSpan w:val="3"/>
            <w:tcBorders>
              <w:top w:val="nil"/>
              <w:left w:val="nil"/>
              <w:bottom w:val="nil"/>
              <w:right w:val="nil"/>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bCs/>
                <w:szCs w:val="21"/>
                <w:lang w:eastAsia="zh-CN"/>
              </w:rPr>
              <w:t>单位</w:t>
            </w:r>
            <w:r>
              <w:rPr>
                <w:rFonts w:ascii="仿宋_GB2312" w:hAnsi="仿宋_GB2312" w:eastAsia="仿宋_GB2312" w:cs="仿宋_GB2312"/>
              </w:rPr>
              <w:t>名称：温州市妇女儿童活动中心</w:t>
            </w:r>
          </w:p>
        </w:tc>
        <w:tc>
          <w:tcPr>
            <w:tcW w:w="1990" w:type="pct"/>
            <w:gridSpan w:val="5"/>
            <w:tcBorders>
              <w:top w:val="nil"/>
              <w:left w:val="nil"/>
              <w:bottom w:val="nil"/>
              <w:right w:val="nil"/>
            </w:tcBorders>
            <w:shd w:val="clear" w:color="auto" w:fill="auto"/>
            <w:noWrap/>
            <w:vAlign w:val="bottom"/>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单位名称</w:t>
            </w:r>
          </w:p>
        </w:tc>
        <w:tc>
          <w:tcPr>
            <w:tcW w:w="14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项目名称</w:t>
            </w:r>
          </w:p>
        </w:tc>
        <w:tc>
          <w:tcPr>
            <w:tcW w:w="4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总计</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一般公共预算</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政府性基金</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国有资本</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经营预算</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财政专户</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管理资金</w:t>
            </w:r>
          </w:p>
        </w:tc>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1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1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5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45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49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47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w:t>
            </w:r>
          </w:p>
        </w:tc>
        <w:tc>
          <w:tcPr>
            <w:tcW w:w="41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w:t>
            </w:r>
          </w:p>
        </w:tc>
        <w:tc>
          <w:tcPr>
            <w:tcW w:w="37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w:t>
            </w:r>
          </w:p>
        </w:tc>
        <w:tc>
          <w:tcPr>
            <w:tcW w:w="37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w:t>
            </w:r>
          </w:p>
        </w:tc>
        <w:tc>
          <w:tcPr>
            <w:tcW w:w="33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55" w:type="pct"/>
            <w:tcBorders>
              <w:top w:val="single" w:color="000000" w:sz="4" w:space="0"/>
              <w:left w:val="single" w:color="000000" w:sz="4" w:space="0"/>
              <w:bottom w:val="single" w:color="000000" w:sz="4" w:space="0"/>
              <w:right w:val="nil"/>
            </w:tcBorders>
            <w:shd w:val="clear" w:color="auto" w:fill="auto"/>
            <w:noWrap/>
            <w:vAlign w:val="center"/>
          </w:tcPr>
          <w:p>
            <w:pPr>
              <w:jc w:val="left"/>
              <w:rPr>
                <w:rFonts w:hint="eastAsia" w:ascii="仿宋_GB2312" w:hAnsi="仿宋_GB2312" w:eastAsia="仿宋_GB2312" w:cs="仿宋_GB2312"/>
                <w:i w:val="0"/>
                <w:iCs w:val="0"/>
                <w:color w:val="000000"/>
                <w:sz w:val="20"/>
                <w:szCs w:val="20"/>
                <w:u w:val="none"/>
              </w:rPr>
            </w:pPr>
          </w:p>
        </w:tc>
        <w:tc>
          <w:tcPr>
            <w:tcW w:w="1455"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ascii="仿宋_GB2312" w:hAnsi="仿宋_GB2312" w:eastAsia="仿宋_GB2312" w:cs="仿宋_GB2312"/>
                <w:color w:val="000000"/>
                <w:sz w:val="20"/>
              </w:rPr>
              <w:t>合计</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1,043.30</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148.80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894.50</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5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温州市妇女儿童活动中心</w:t>
            </w:r>
          </w:p>
        </w:tc>
        <w:tc>
          <w:tcPr>
            <w:tcW w:w="1455"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校外教育</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616.80</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34.80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582.00</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5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温州市妇女儿童活动中心</w:t>
            </w:r>
          </w:p>
        </w:tc>
        <w:tc>
          <w:tcPr>
            <w:tcW w:w="1455"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校外教育支持与保障</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426.50</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114.00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312.50</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p>
        </w:tc>
      </w:tr>
    </w:tbl>
    <w:p>
      <w:pPr>
        <w:pStyle w:val="2"/>
        <w:rPr>
          <w:rFonts w:hint="eastAsia" w:ascii="仿宋_GB2312" w:hAnsi="仿宋_GB2312" w:eastAsia="仿宋_GB2312" w:cs="仿宋_GB2312"/>
        </w:rPr>
        <w:sectPr>
          <w:pgSz w:w="16838" w:h="11906" w:orient="landscape"/>
          <w:pgMar w:top="720" w:right="720" w:bottom="720" w:left="720" w:header="851" w:footer="992" w:gutter="0"/>
          <w:pgNumType w:fmt="decimal"/>
          <w:cols w:space="425" w:num="1"/>
          <w:docGrid w:type="lines" w:linePitch="312" w:charSpace="0"/>
        </w:sectPr>
      </w:pPr>
    </w:p>
    <w:p>
      <w:pPr>
        <w:jc w:val="right"/>
        <w:rPr>
          <w:rFonts w:hint="eastAsia" w:ascii="仿宋_GB2312" w:hAnsi="仿宋_GB2312" w:eastAsia="仿宋_GB2312" w:cs="仿宋_GB2312"/>
          <w:bCs/>
          <w:szCs w:val="21"/>
          <w:lang w:val="en-US" w:eastAsia="zh-CN"/>
        </w:rPr>
      </w:pPr>
      <w:r>
        <w:rPr>
          <w:rFonts w:hint="eastAsia" w:ascii="仿宋_GB2312" w:hAnsi="仿宋_GB2312" w:eastAsia="仿宋_GB2312" w:cs="仿宋_GB2312"/>
          <w:bCs/>
          <w:szCs w:val="21"/>
        </w:rPr>
        <w:t>公开表</w:t>
      </w:r>
      <w:r>
        <w:rPr>
          <w:rFonts w:hint="eastAsia" w:ascii="仿宋_GB2312" w:hAnsi="仿宋_GB2312" w:eastAsia="仿宋_GB2312" w:cs="仿宋_GB2312"/>
          <w:bCs/>
          <w:szCs w:val="21"/>
          <w:lang w:val="en-US" w:eastAsia="zh-CN"/>
        </w:rPr>
        <w:t>11</w:t>
      </w:r>
    </w:p>
    <w:p>
      <w:pPr>
        <w:pStyle w:val="2"/>
        <w:jc w:val="center"/>
        <w:outlineLvl w:val="1"/>
        <w:rPr>
          <w:rFonts w:hint="eastAsia" w:ascii="仿宋_GB2312" w:hAnsi="仿宋_GB2312" w:eastAsia="仿宋_GB2312" w:cs="仿宋_GB2312"/>
          <w:lang w:val="en-US" w:eastAsia="zh-CN"/>
        </w:rPr>
      </w:pPr>
      <w:bookmarkStart w:id="37" w:name="_Toc28950"/>
      <w:bookmarkStart w:id="38" w:name="_Toc16042"/>
      <w:r>
        <w:rPr>
          <w:rFonts w:hint="eastAsia" w:ascii="仿宋_GB2312" w:hAnsi="仿宋_GB2312" w:eastAsia="仿宋_GB2312" w:cs="仿宋_GB2312"/>
          <w:i w:val="0"/>
          <w:iCs w:val="0"/>
          <w:color w:val="000000"/>
          <w:kern w:val="0"/>
          <w:sz w:val="44"/>
          <w:szCs w:val="44"/>
          <w:u w:val="none"/>
          <w:lang w:val="en-US" w:eastAsia="zh-CN" w:bidi="ar"/>
        </w:rPr>
        <w:t>2023</w:t>
      </w:r>
      <w:bookmarkEnd w:id="37"/>
      <w:bookmarkEnd w:id="38"/>
      <w:r>
        <w:rPr>
          <w:rFonts w:ascii="仿宋_GB2312" w:hAnsi="仿宋_GB2312" w:eastAsia="仿宋_GB2312" w:cs="仿宋_GB2312"/>
          <w:color w:val="000000"/>
          <w:sz w:val="44"/>
        </w:rPr>
        <w:t>年单位项目支出预算绩效目标表</w:t>
      </w:r>
    </w:p>
    <w:tbl>
      <w:tblPr>
        <w:tblStyle w:val="13"/>
        <w:tblW w:w="4905" w:type="pct"/>
        <w:tblInd w:w="1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77"/>
        <w:gridCol w:w="3137"/>
        <w:gridCol w:w="2512"/>
        <w:gridCol w:w="1646"/>
        <w:gridCol w:w="66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2830" w:type="pct"/>
            <w:gridSpan w:val="4"/>
            <w:tcBorders>
              <w:top w:val="nil"/>
              <w:left w:val="nil"/>
              <w:bottom w:val="nil"/>
              <w:right w:val="nil"/>
            </w:tcBorders>
            <w:shd w:val="clear" w:color="auto" w:fill="auto"/>
            <w:noWrap/>
            <w:vAlign w:val="center"/>
          </w:tcPr>
          <w:p>
            <w:pP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bCs/>
                <w:szCs w:val="21"/>
                <w:lang w:eastAsia="zh-CN"/>
              </w:rPr>
              <w:t>单位</w:t>
            </w:r>
            <w:r>
              <w:rPr>
                <w:rFonts w:ascii="仿宋_GB2312" w:hAnsi="仿宋_GB2312" w:eastAsia="仿宋_GB2312" w:cs="仿宋_GB2312"/>
              </w:rPr>
              <w:t>名称：温州市妇女儿童活动中心</w:t>
            </w:r>
          </w:p>
        </w:tc>
        <w:tc>
          <w:tcPr>
            <w:tcW w:w="2169"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ascii="仿宋_GB2312" w:hAnsi="仿宋_GB2312" w:eastAsia="仿宋_GB2312" w:cs="仿宋_GB2312"/>
                <w:color w:val="000000"/>
                <w:sz w:val="20"/>
              </w:rPr>
              <w:t>单位代码</w:t>
            </w:r>
          </w:p>
        </w:tc>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单位名称</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项目名称</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金额</w:t>
            </w:r>
          </w:p>
        </w:tc>
        <w:tc>
          <w:tcPr>
            <w:tcW w:w="2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合计</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1,043.30</w:t>
            </w:r>
          </w:p>
        </w:tc>
        <w:tc>
          <w:tcPr>
            <w:tcW w:w="2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152002</w:t>
            </w:r>
          </w:p>
        </w:tc>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1,043.30</w:t>
            </w:r>
          </w:p>
        </w:tc>
        <w:tc>
          <w:tcPr>
            <w:tcW w:w="2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152002</w:t>
            </w:r>
          </w:p>
        </w:tc>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温州市妇女儿童活动中心</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校外教育</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616.80</w:t>
            </w:r>
          </w:p>
        </w:tc>
        <w:tc>
          <w:tcPr>
            <w:tcW w:w="2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通过素质培训，提升我市妇女儿童以及家庭的综合素质水平；丰富我市妇女儿童、家庭的业余生活。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152002</w:t>
            </w:r>
          </w:p>
        </w:tc>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温州市妇女儿童活动中心</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校外教育支持与保障</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426.50</w:t>
            </w:r>
          </w:p>
        </w:tc>
        <w:tc>
          <w:tcPr>
            <w:tcW w:w="2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保障培训、活动及办公正常进行，保障中心建筑使用正常，保障设施设备安全运转，保障场所环境干净整洁，无安全故事。</w:t>
            </w:r>
          </w:p>
        </w:tc>
      </w:tr>
    </w:tbl>
    <w:p/>
    <w:sectPr>
      <w:pgSz w:w="16838" w:h="11906" w:orient="landscape"/>
      <w:pgMar w:top="720" w:right="720" w:bottom="720"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6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8"/>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1"/>
        <w:snapToGrid w:val="0"/>
      </w:pPr>
      <w:r>
        <w:rPr>
          <w:rStyle w:val="25"/>
        </w:rPr>
        <w:footnoteRef/>
      </w:r>
      <w:r>
        <w:t xml:space="preserve"> </w:t>
      </w:r>
      <w:r>
        <w:rPr>
          <w:rFonts w:hint="eastAsia" w:ascii="仿宋" w:hAnsi="仿宋" w:eastAsia="仿宋"/>
          <w:sz w:val="18"/>
        </w:rPr>
        <w:t>公开文本</w:t>
      </w:r>
      <w:r>
        <w:rPr>
          <w:rFonts w:hint="eastAsia" w:ascii="仿宋" w:hAnsi="仿宋" w:eastAsia="仿宋"/>
        </w:rPr>
        <w:t>202</w:t>
      </w:r>
      <w:r>
        <w:rPr>
          <w:rFonts w:hint="eastAsia" w:ascii="仿宋" w:hAnsi="仿宋" w:eastAsia="仿宋"/>
          <w:lang w:val="en-US" w:eastAsia="zh-CN"/>
        </w:rPr>
        <w:t>3</w:t>
      </w:r>
      <w:r>
        <w:rPr>
          <w:rFonts w:hint="eastAsia" w:ascii="仿宋" w:hAnsi="仿宋" w:eastAsia="仿宋"/>
        </w:rPr>
        <w:t>年</w:t>
      </w:r>
      <w:r>
        <w:rPr>
          <w:rFonts w:hint="eastAsia" w:ascii="仿宋" w:hAnsi="仿宋" w:eastAsia="仿宋"/>
          <w:sz w:val="18"/>
        </w:rPr>
        <w:t>数据来源于附件套表，若明细数加计之和与合计数有尾差，系套表金额单位转换时四舍五入造成，不另行调整。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1DEE0E"/>
    <w:multiLevelType w:val="singleLevel"/>
    <w:tmpl w:val="E61DEE0E"/>
    <w:lvl w:ilvl="0" w:tentative="0">
      <w:start w:val="2"/>
      <w:numFmt w:val="chineseCounting"/>
      <w:suff w:val="nothing"/>
      <w:lvlText w:val="%1、"/>
      <w:lvlJc w:val="left"/>
      <w:rPr>
        <w:rFonts w:hint="eastAsia" w:ascii="黑体" w:hAnsi="黑体" w:eastAsia="黑体" w:cs="黑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xYzhhYjNlNTdhNzU0OWFiZDY1ZmMzZjJjZGY2ZjcifQ=="/>
  </w:docVars>
  <w:rsids>
    <w:rsidRoot w:val="00D619FB"/>
    <w:rsid w:val="00011D85"/>
    <w:rsid w:val="001F73E0"/>
    <w:rsid w:val="00387FA1"/>
    <w:rsid w:val="00396E9F"/>
    <w:rsid w:val="003A6B66"/>
    <w:rsid w:val="003E3D64"/>
    <w:rsid w:val="004409EB"/>
    <w:rsid w:val="00522102"/>
    <w:rsid w:val="00545781"/>
    <w:rsid w:val="00563274"/>
    <w:rsid w:val="005D2854"/>
    <w:rsid w:val="005D469F"/>
    <w:rsid w:val="005E290C"/>
    <w:rsid w:val="006624DA"/>
    <w:rsid w:val="006836D3"/>
    <w:rsid w:val="00846033"/>
    <w:rsid w:val="008878D1"/>
    <w:rsid w:val="00956AE7"/>
    <w:rsid w:val="00AA42FB"/>
    <w:rsid w:val="00B32474"/>
    <w:rsid w:val="00B83FCB"/>
    <w:rsid w:val="00BB68B8"/>
    <w:rsid w:val="00CB77BE"/>
    <w:rsid w:val="00D06F79"/>
    <w:rsid w:val="00D619FB"/>
    <w:rsid w:val="00E56324"/>
    <w:rsid w:val="00E8732C"/>
    <w:rsid w:val="010C0502"/>
    <w:rsid w:val="011D457A"/>
    <w:rsid w:val="015E4AD6"/>
    <w:rsid w:val="01613241"/>
    <w:rsid w:val="016B5822"/>
    <w:rsid w:val="016F45ED"/>
    <w:rsid w:val="019B3634"/>
    <w:rsid w:val="01E925F2"/>
    <w:rsid w:val="01F77F95"/>
    <w:rsid w:val="020B07BA"/>
    <w:rsid w:val="020E1124"/>
    <w:rsid w:val="021052E4"/>
    <w:rsid w:val="02315D47"/>
    <w:rsid w:val="02322A9A"/>
    <w:rsid w:val="02441F1E"/>
    <w:rsid w:val="025657AD"/>
    <w:rsid w:val="029C1BB7"/>
    <w:rsid w:val="02C31095"/>
    <w:rsid w:val="02E852D3"/>
    <w:rsid w:val="02ED1C6E"/>
    <w:rsid w:val="03100052"/>
    <w:rsid w:val="0328613E"/>
    <w:rsid w:val="0329473F"/>
    <w:rsid w:val="03321D76"/>
    <w:rsid w:val="03662AD9"/>
    <w:rsid w:val="03816C7A"/>
    <w:rsid w:val="03961FA8"/>
    <w:rsid w:val="03AF786B"/>
    <w:rsid w:val="03CF5CB0"/>
    <w:rsid w:val="03E61C06"/>
    <w:rsid w:val="042D378B"/>
    <w:rsid w:val="043164D2"/>
    <w:rsid w:val="0432483D"/>
    <w:rsid w:val="04544215"/>
    <w:rsid w:val="048B7990"/>
    <w:rsid w:val="048D195A"/>
    <w:rsid w:val="04B2316F"/>
    <w:rsid w:val="04D56E5D"/>
    <w:rsid w:val="04E7619E"/>
    <w:rsid w:val="04EE3579"/>
    <w:rsid w:val="050C5A77"/>
    <w:rsid w:val="053718C6"/>
    <w:rsid w:val="055B3806"/>
    <w:rsid w:val="056652BE"/>
    <w:rsid w:val="057228FE"/>
    <w:rsid w:val="058C1C12"/>
    <w:rsid w:val="05BB6053"/>
    <w:rsid w:val="05C018BB"/>
    <w:rsid w:val="05CC0260"/>
    <w:rsid w:val="05CD222A"/>
    <w:rsid w:val="05D25154"/>
    <w:rsid w:val="05F83E3E"/>
    <w:rsid w:val="062A4F87"/>
    <w:rsid w:val="063127B9"/>
    <w:rsid w:val="06542A65"/>
    <w:rsid w:val="065E2E82"/>
    <w:rsid w:val="06D01FD2"/>
    <w:rsid w:val="06E5458D"/>
    <w:rsid w:val="070E2B5F"/>
    <w:rsid w:val="073A6A62"/>
    <w:rsid w:val="07506C6F"/>
    <w:rsid w:val="07854B6B"/>
    <w:rsid w:val="07986E84"/>
    <w:rsid w:val="079923C4"/>
    <w:rsid w:val="079C3C62"/>
    <w:rsid w:val="07BD7D24"/>
    <w:rsid w:val="07CF4038"/>
    <w:rsid w:val="07D371FC"/>
    <w:rsid w:val="07D65DEF"/>
    <w:rsid w:val="08196554"/>
    <w:rsid w:val="08534C69"/>
    <w:rsid w:val="08744BDF"/>
    <w:rsid w:val="088A7F5F"/>
    <w:rsid w:val="08A76D63"/>
    <w:rsid w:val="08A951F9"/>
    <w:rsid w:val="0910054A"/>
    <w:rsid w:val="0949606C"/>
    <w:rsid w:val="09581E0B"/>
    <w:rsid w:val="097906FF"/>
    <w:rsid w:val="0999783F"/>
    <w:rsid w:val="09A3752A"/>
    <w:rsid w:val="09C900EC"/>
    <w:rsid w:val="09E55D95"/>
    <w:rsid w:val="09E813E1"/>
    <w:rsid w:val="0A1421D6"/>
    <w:rsid w:val="0A1B5312"/>
    <w:rsid w:val="0A3B7763"/>
    <w:rsid w:val="0A3D5E32"/>
    <w:rsid w:val="0A913826"/>
    <w:rsid w:val="0AA95014"/>
    <w:rsid w:val="0AC534D0"/>
    <w:rsid w:val="0AF12517"/>
    <w:rsid w:val="0B065FC2"/>
    <w:rsid w:val="0B304DED"/>
    <w:rsid w:val="0B495EAF"/>
    <w:rsid w:val="0B505490"/>
    <w:rsid w:val="0B995089"/>
    <w:rsid w:val="0B9A495D"/>
    <w:rsid w:val="0BB7550F"/>
    <w:rsid w:val="0BDA2D99"/>
    <w:rsid w:val="0BE67BA2"/>
    <w:rsid w:val="0BF57DE5"/>
    <w:rsid w:val="0BFB189F"/>
    <w:rsid w:val="0BFF2A12"/>
    <w:rsid w:val="0C014F6D"/>
    <w:rsid w:val="0C063DA0"/>
    <w:rsid w:val="0C087B18"/>
    <w:rsid w:val="0C2801BA"/>
    <w:rsid w:val="0C41302A"/>
    <w:rsid w:val="0C5F7D2C"/>
    <w:rsid w:val="0C800F2E"/>
    <w:rsid w:val="0C922E8C"/>
    <w:rsid w:val="0CAA0BCF"/>
    <w:rsid w:val="0CB832EC"/>
    <w:rsid w:val="0CC9088F"/>
    <w:rsid w:val="0CE923AA"/>
    <w:rsid w:val="0CEE0567"/>
    <w:rsid w:val="0D05646A"/>
    <w:rsid w:val="0D205087"/>
    <w:rsid w:val="0D417786"/>
    <w:rsid w:val="0D865199"/>
    <w:rsid w:val="0D8C7BA2"/>
    <w:rsid w:val="0D933D59"/>
    <w:rsid w:val="0DB00467"/>
    <w:rsid w:val="0DBB3597"/>
    <w:rsid w:val="0DE809E8"/>
    <w:rsid w:val="0DF65182"/>
    <w:rsid w:val="0E082052"/>
    <w:rsid w:val="0E1212C9"/>
    <w:rsid w:val="0E253035"/>
    <w:rsid w:val="0E2C3DC4"/>
    <w:rsid w:val="0E456E02"/>
    <w:rsid w:val="0E4C4E14"/>
    <w:rsid w:val="0E4F5ED2"/>
    <w:rsid w:val="0E5C414B"/>
    <w:rsid w:val="0E6B438E"/>
    <w:rsid w:val="0E70579A"/>
    <w:rsid w:val="0E794393"/>
    <w:rsid w:val="0E796AAB"/>
    <w:rsid w:val="0E7F5EAA"/>
    <w:rsid w:val="0EA33EF7"/>
    <w:rsid w:val="0EC046DA"/>
    <w:rsid w:val="0EC5310D"/>
    <w:rsid w:val="0F2E5AE8"/>
    <w:rsid w:val="0F4A6ABA"/>
    <w:rsid w:val="0F543075"/>
    <w:rsid w:val="0F76705F"/>
    <w:rsid w:val="0F786D63"/>
    <w:rsid w:val="0F7A0D2D"/>
    <w:rsid w:val="0FA86DE3"/>
    <w:rsid w:val="0FB01FF4"/>
    <w:rsid w:val="0FD85A54"/>
    <w:rsid w:val="0FE34B24"/>
    <w:rsid w:val="10150A56"/>
    <w:rsid w:val="10233552"/>
    <w:rsid w:val="10287762"/>
    <w:rsid w:val="102D3FF1"/>
    <w:rsid w:val="1054237C"/>
    <w:rsid w:val="10685029"/>
    <w:rsid w:val="10A238A0"/>
    <w:rsid w:val="10A32505"/>
    <w:rsid w:val="10A67900"/>
    <w:rsid w:val="10A818CA"/>
    <w:rsid w:val="10C83D1A"/>
    <w:rsid w:val="10F233D9"/>
    <w:rsid w:val="10F66AD9"/>
    <w:rsid w:val="115E0AC4"/>
    <w:rsid w:val="11641E21"/>
    <w:rsid w:val="11A77DD3"/>
    <w:rsid w:val="11C40985"/>
    <w:rsid w:val="11E22BBA"/>
    <w:rsid w:val="11F3292D"/>
    <w:rsid w:val="11F64BCE"/>
    <w:rsid w:val="120808BC"/>
    <w:rsid w:val="12135469"/>
    <w:rsid w:val="1214052F"/>
    <w:rsid w:val="12386C7D"/>
    <w:rsid w:val="123F1DBA"/>
    <w:rsid w:val="125B4450"/>
    <w:rsid w:val="126619B3"/>
    <w:rsid w:val="126857B5"/>
    <w:rsid w:val="126B2BAF"/>
    <w:rsid w:val="126D6927"/>
    <w:rsid w:val="129F0AAB"/>
    <w:rsid w:val="131312EA"/>
    <w:rsid w:val="13160D6D"/>
    <w:rsid w:val="137F4BD8"/>
    <w:rsid w:val="1393060F"/>
    <w:rsid w:val="13C407C9"/>
    <w:rsid w:val="13D6674E"/>
    <w:rsid w:val="13DB3D64"/>
    <w:rsid w:val="140432BB"/>
    <w:rsid w:val="140B289C"/>
    <w:rsid w:val="14180B15"/>
    <w:rsid w:val="148F7048"/>
    <w:rsid w:val="14DC4B37"/>
    <w:rsid w:val="14F42DE4"/>
    <w:rsid w:val="15113EE2"/>
    <w:rsid w:val="15204125"/>
    <w:rsid w:val="152543B4"/>
    <w:rsid w:val="159B361E"/>
    <w:rsid w:val="15B36D47"/>
    <w:rsid w:val="15EA028F"/>
    <w:rsid w:val="16007AB2"/>
    <w:rsid w:val="1663076D"/>
    <w:rsid w:val="16801192"/>
    <w:rsid w:val="168044ED"/>
    <w:rsid w:val="168356FE"/>
    <w:rsid w:val="16CF5E02"/>
    <w:rsid w:val="16D927DD"/>
    <w:rsid w:val="16EA49EA"/>
    <w:rsid w:val="16EC274F"/>
    <w:rsid w:val="16EF5067"/>
    <w:rsid w:val="16F2564D"/>
    <w:rsid w:val="17147CB9"/>
    <w:rsid w:val="17173305"/>
    <w:rsid w:val="1720040C"/>
    <w:rsid w:val="172A4DE7"/>
    <w:rsid w:val="17345C65"/>
    <w:rsid w:val="173914CE"/>
    <w:rsid w:val="176E561B"/>
    <w:rsid w:val="17832749"/>
    <w:rsid w:val="178B04F8"/>
    <w:rsid w:val="179E5F3A"/>
    <w:rsid w:val="17D8473E"/>
    <w:rsid w:val="17FB2C27"/>
    <w:rsid w:val="180E78A8"/>
    <w:rsid w:val="181C2C32"/>
    <w:rsid w:val="181D494B"/>
    <w:rsid w:val="18441ED8"/>
    <w:rsid w:val="18814EDA"/>
    <w:rsid w:val="188C387F"/>
    <w:rsid w:val="18A64941"/>
    <w:rsid w:val="18A72EBF"/>
    <w:rsid w:val="18AB28D3"/>
    <w:rsid w:val="18B708FC"/>
    <w:rsid w:val="18C80344"/>
    <w:rsid w:val="18E23464"/>
    <w:rsid w:val="18E436BB"/>
    <w:rsid w:val="18E90CD1"/>
    <w:rsid w:val="18FF22A3"/>
    <w:rsid w:val="196071E6"/>
    <w:rsid w:val="19676F33"/>
    <w:rsid w:val="197E766C"/>
    <w:rsid w:val="19834C82"/>
    <w:rsid w:val="19977715"/>
    <w:rsid w:val="19A846E9"/>
    <w:rsid w:val="19BE5CBA"/>
    <w:rsid w:val="19D142FC"/>
    <w:rsid w:val="19D86781"/>
    <w:rsid w:val="19EB2F14"/>
    <w:rsid w:val="19F17E3E"/>
    <w:rsid w:val="19FD4A34"/>
    <w:rsid w:val="1A09570F"/>
    <w:rsid w:val="1A4809D1"/>
    <w:rsid w:val="1A497C7A"/>
    <w:rsid w:val="1A7D7923"/>
    <w:rsid w:val="1A820C23"/>
    <w:rsid w:val="1AAA402B"/>
    <w:rsid w:val="1AAE793C"/>
    <w:rsid w:val="1AB5530F"/>
    <w:rsid w:val="1AD64D12"/>
    <w:rsid w:val="1ADA4D76"/>
    <w:rsid w:val="1AEF6A73"/>
    <w:rsid w:val="1B087B35"/>
    <w:rsid w:val="1B19589E"/>
    <w:rsid w:val="1B363FB3"/>
    <w:rsid w:val="1B3A31DD"/>
    <w:rsid w:val="1B423E05"/>
    <w:rsid w:val="1B544B28"/>
    <w:rsid w:val="1B5F5C88"/>
    <w:rsid w:val="1B6D7998"/>
    <w:rsid w:val="1B8171F7"/>
    <w:rsid w:val="1B882A24"/>
    <w:rsid w:val="1B996667"/>
    <w:rsid w:val="1B99737C"/>
    <w:rsid w:val="1B9E3FF5"/>
    <w:rsid w:val="1BB95686"/>
    <w:rsid w:val="1BCF41AF"/>
    <w:rsid w:val="1BD17F27"/>
    <w:rsid w:val="1C0320AA"/>
    <w:rsid w:val="1C0A3439"/>
    <w:rsid w:val="1C517416"/>
    <w:rsid w:val="1C7A6810"/>
    <w:rsid w:val="1C7D3C04"/>
    <w:rsid w:val="1C8A5E71"/>
    <w:rsid w:val="1CEC2B3E"/>
    <w:rsid w:val="1D012A8E"/>
    <w:rsid w:val="1D175E0D"/>
    <w:rsid w:val="1D1A7519"/>
    <w:rsid w:val="1D2216D8"/>
    <w:rsid w:val="1D2B7B0B"/>
    <w:rsid w:val="1D8965DF"/>
    <w:rsid w:val="1DB6149E"/>
    <w:rsid w:val="1DC55869"/>
    <w:rsid w:val="1DCA7323"/>
    <w:rsid w:val="1DCF66E8"/>
    <w:rsid w:val="1DE81558"/>
    <w:rsid w:val="1DFE32C1"/>
    <w:rsid w:val="1E124827"/>
    <w:rsid w:val="1E2017E9"/>
    <w:rsid w:val="1E285DF8"/>
    <w:rsid w:val="1E5037DD"/>
    <w:rsid w:val="1E522E75"/>
    <w:rsid w:val="1E650DFA"/>
    <w:rsid w:val="1EA726B1"/>
    <w:rsid w:val="1EB15DEE"/>
    <w:rsid w:val="1EC04283"/>
    <w:rsid w:val="1ED74D17"/>
    <w:rsid w:val="1ED85A70"/>
    <w:rsid w:val="1EE95587"/>
    <w:rsid w:val="1F070C5D"/>
    <w:rsid w:val="1F1C3BAF"/>
    <w:rsid w:val="1F3D3B25"/>
    <w:rsid w:val="1F550E6F"/>
    <w:rsid w:val="1F5D564B"/>
    <w:rsid w:val="1F7237CF"/>
    <w:rsid w:val="1FB838C5"/>
    <w:rsid w:val="1FBB33C8"/>
    <w:rsid w:val="1FC87893"/>
    <w:rsid w:val="1FE12702"/>
    <w:rsid w:val="1FF00B97"/>
    <w:rsid w:val="1FFE32B4"/>
    <w:rsid w:val="2009699D"/>
    <w:rsid w:val="2019376E"/>
    <w:rsid w:val="20196340"/>
    <w:rsid w:val="205834A5"/>
    <w:rsid w:val="205E12AA"/>
    <w:rsid w:val="20601879"/>
    <w:rsid w:val="20875058"/>
    <w:rsid w:val="208C1798"/>
    <w:rsid w:val="208E17CC"/>
    <w:rsid w:val="20AC4867"/>
    <w:rsid w:val="20B74F71"/>
    <w:rsid w:val="20C41134"/>
    <w:rsid w:val="20E64474"/>
    <w:rsid w:val="20F85F56"/>
    <w:rsid w:val="210B3EDB"/>
    <w:rsid w:val="21141C1A"/>
    <w:rsid w:val="21221225"/>
    <w:rsid w:val="214152F7"/>
    <w:rsid w:val="2157569F"/>
    <w:rsid w:val="215869F4"/>
    <w:rsid w:val="21635AC5"/>
    <w:rsid w:val="217001E2"/>
    <w:rsid w:val="21A8797C"/>
    <w:rsid w:val="21A954A2"/>
    <w:rsid w:val="21BA320B"/>
    <w:rsid w:val="21EE539F"/>
    <w:rsid w:val="21EF55AB"/>
    <w:rsid w:val="21FF0D89"/>
    <w:rsid w:val="220F17A9"/>
    <w:rsid w:val="222D7E81"/>
    <w:rsid w:val="222F1E4B"/>
    <w:rsid w:val="228E4DC3"/>
    <w:rsid w:val="22AD6357"/>
    <w:rsid w:val="22C407E5"/>
    <w:rsid w:val="22F95FB5"/>
    <w:rsid w:val="23005595"/>
    <w:rsid w:val="231B41AB"/>
    <w:rsid w:val="2352583B"/>
    <w:rsid w:val="23694EE9"/>
    <w:rsid w:val="2378512C"/>
    <w:rsid w:val="238E0DF3"/>
    <w:rsid w:val="23CF0CCE"/>
    <w:rsid w:val="23E34C9B"/>
    <w:rsid w:val="24264B88"/>
    <w:rsid w:val="2431531A"/>
    <w:rsid w:val="243C084F"/>
    <w:rsid w:val="244A6AC8"/>
    <w:rsid w:val="245B3CCB"/>
    <w:rsid w:val="246F1F69"/>
    <w:rsid w:val="24A3442A"/>
    <w:rsid w:val="24A87C93"/>
    <w:rsid w:val="24A93B72"/>
    <w:rsid w:val="24B42061"/>
    <w:rsid w:val="24B71FDF"/>
    <w:rsid w:val="24BC54EC"/>
    <w:rsid w:val="24D171E9"/>
    <w:rsid w:val="24D2799E"/>
    <w:rsid w:val="24ED112F"/>
    <w:rsid w:val="24F627AC"/>
    <w:rsid w:val="24FE78B3"/>
    <w:rsid w:val="25030CF8"/>
    <w:rsid w:val="250D7AF6"/>
    <w:rsid w:val="25145D5F"/>
    <w:rsid w:val="25270BB7"/>
    <w:rsid w:val="2533755C"/>
    <w:rsid w:val="25461222"/>
    <w:rsid w:val="254C2D14"/>
    <w:rsid w:val="25512559"/>
    <w:rsid w:val="255258CA"/>
    <w:rsid w:val="25567DE0"/>
    <w:rsid w:val="257217A9"/>
    <w:rsid w:val="25777D91"/>
    <w:rsid w:val="257E0338"/>
    <w:rsid w:val="259F425C"/>
    <w:rsid w:val="25C46DB6"/>
    <w:rsid w:val="260721B6"/>
    <w:rsid w:val="261A4BC0"/>
    <w:rsid w:val="26215F4F"/>
    <w:rsid w:val="263E35CF"/>
    <w:rsid w:val="2681079B"/>
    <w:rsid w:val="268A3AF3"/>
    <w:rsid w:val="26964247"/>
    <w:rsid w:val="269C3827"/>
    <w:rsid w:val="26B172D2"/>
    <w:rsid w:val="26B946B6"/>
    <w:rsid w:val="26D1527F"/>
    <w:rsid w:val="26D60AE7"/>
    <w:rsid w:val="26D7660D"/>
    <w:rsid w:val="26E31456"/>
    <w:rsid w:val="27123F27"/>
    <w:rsid w:val="273A72C8"/>
    <w:rsid w:val="276931ED"/>
    <w:rsid w:val="27800A53"/>
    <w:rsid w:val="27802801"/>
    <w:rsid w:val="27A24E6D"/>
    <w:rsid w:val="27AD41C5"/>
    <w:rsid w:val="27AF99D0"/>
    <w:rsid w:val="27B70919"/>
    <w:rsid w:val="27CC3C98"/>
    <w:rsid w:val="28333D17"/>
    <w:rsid w:val="285C58B2"/>
    <w:rsid w:val="285D2B42"/>
    <w:rsid w:val="28A56325"/>
    <w:rsid w:val="28DE3B1A"/>
    <w:rsid w:val="28E60D8A"/>
    <w:rsid w:val="290C6A42"/>
    <w:rsid w:val="29143B49"/>
    <w:rsid w:val="29177195"/>
    <w:rsid w:val="292C3912"/>
    <w:rsid w:val="296D58E9"/>
    <w:rsid w:val="298962E5"/>
    <w:rsid w:val="299A2266"/>
    <w:rsid w:val="29AC3D81"/>
    <w:rsid w:val="29B1467A"/>
    <w:rsid w:val="29BD3E99"/>
    <w:rsid w:val="2A662A5E"/>
    <w:rsid w:val="2A6E7289"/>
    <w:rsid w:val="2A816FBC"/>
    <w:rsid w:val="2A995E68"/>
    <w:rsid w:val="2A9C6866"/>
    <w:rsid w:val="2AA84549"/>
    <w:rsid w:val="2ACD1116"/>
    <w:rsid w:val="2B2F07C6"/>
    <w:rsid w:val="2B361B54"/>
    <w:rsid w:val="2B400C25"/>
    <w:rsid w:val="2B430715"/>
    <w:rsid w:val="2B82123D"/>
    <w:rsid w:val="2B8723B0"/>
    <w:rsid w:val="2B9176D3"/>
    <w:rsid w:val="2BA80578"/>
    <w:rsid w:val="2BA967CA"/>
    <w:rsid w:val="2BB144A1"/>
    <w:rsid w:val="2BB532F3"/>
    <w:rsid w:val="2BDB094E"/>
    <w:rsid w:val="2BF8369D"/>
    <w:rsid w:val="2C02237E"/>
    <w:rsid w:val="2C02639C"/>
    <w:rsid w:val="2C060A3E"/>
    <w:rsid w:val="2C0C5A8A"/>
    <w:rsid w:val="2C3167C0"/>
    <w:rsid w:val="2C4C53A8"/>
    <w:rsid w:val="2C6646BB"/>
    <w:rsid w:val="2C6E75F9"/>
    <w:rsid w:val="2CA90A4C"/>
    <w:rsid w:val="2CBF5B79"/>
    <w:rsid w:val="2CC47634"/>
    <w:rsid w:val="2CC633AC"/>
    <w:rsid w:val="2CC66F08"/>
    <w:rsid w:val="2CF75313"/>
    <w:rsid w:val="2D1660E1"/>
    <w:rsid w:val="2D2B53BF"/>
    <w:rsid w:val="2D5C161A"/>
    <w:rsid w:val="2D70346D"/>
    <w:rsid w:val="2D7746A6"/>
    <w:rsid w:val="2D7B7CF2"/>
    <w:rsid w:val="2D7E77E3"/>
    <w:rsid w:val="2D7F70CB"/>
    <w:rsid w:val="2DB01AB8"/>
    <w:rsid w:val="2DB35ED0"/>
    <w:rsid w:val="2DBE0D16"/>
    <w:rsid w:val="2DC07DFB"/>
    <w:rsid w:val="2DCF6290"/>
    <w:rsid w:val="2DD65871"/>
    <w:rsid w:val="2DF6381D"/>
    <w:rsid w:val="2E293BF2"/>
    <w:rsid w:val="2E493F69"/>
    <w:rsid w:val="2E5F2002"/>
    <w:rsid w:val="2E5F2166"/>
    <w:rsid w:val="2E8452CD"/>
    <w:rsid w:val="2E8C0C88"/>
    <w:rsid w:val="2EC44DB8"/>
    <w:rsid w:val="2ECD44DD"/>
    <w:rsid w:val="2EDA3900"/>
    <w:rsid w:val="2EEE2746"/>
    <w:rsid w:val="2EF35FAE"/>
    <w:rsid w:val="2EFC1DE6"/>
    <w:rsid w:val="2EFC30B5"/>
    <w:rsid w:val="2F047678"/>
    <w:rsid w:val="2F0A3A24"/>
    <w:rsid w:val="2F10090E"/>
    <w:rsid w:val="2F1033BF"/>
    <w:rsid w:val="2F285C58"/>
    <w:rsid w:val="2F3D3474"/>
    <w:rsid w:val="2F4F0B88"/>
    <w:rsid w:val="2F7722EC"/>
    <w:rsid w:val="2F7E6F8E"/>
    <w:rsid w:val="2FB44791"/>
    <w:rsid w:val="2FD83DF3"/>
    <w:rsid w:val="2FE95D01"/>
    <w:rsid w:val="2FFB336C"/>
    <w:rsid w:val="30161F54"/>
    <w:rsid w:val="30221DFE"/>
    <w:rsid w:val="30562C99"/>
    <w:rsid w:val="308E41E1"/>
    <w:rsid w:val="308F5FC5"/>
    <w:rsid w:val="30941204"/>
    <w:rsid w:val="30E97669"/>
    <w:rsid w:val="30F1651D"/>
    <w:rsid w:val="30FA1876"/>
    <w:rsid w:val="30FD4260"/>
    <w:rsid w:val="310F3573"/>
    <w:rsid w:val="31722022"/>
    <w:rsid w:val="31884A8A"/>
    <w:rsid w:val="3190376A"/>
    <w:rsid w:val="31AB2B70"/>
    <w:rsid w:val="31E3230A"/>
    <w:rsid w:val="32087FC3"/>
    <w:rsid w:val="32244DFC"/>
    <w:rsid w:val="328E04C8"/>
    <w:rsid w:val="32A93554"/>
    <w:rsid w:val="32B80988"/>
    <w:rsid w:val="32BA750F"/>
    <w:rsid w:val="32C02226"/>
    <w:rsid w:val="32DB1233"/>
    <w:rsid w:val="32FF21F7"/>
    <w:rsid w:val="32FF3174"/>
    <w:rsid w:val="33184235"/>
    <w:rsid w:val="33236BCE"/>
    <w:rsid w:val="334B4FFB"/>
    <w:rsid w:val="33661445"/>
    <w:rsid w:val="33691CA7"/>
    <w:rsid w:val="33917406"/>
    <w:rsid w:val="33DD0C2C"/>
    <w:rsid w:val="33F95E15"/>
    <w:rsid w:val="34067C5E"/>
    <w:rsid w:val="341449FD"/>
    <w:rsid w:val="343650EA"/>
    <w:rsid w:val="344277BC"/>
    <w:rsid w:val="3480498B"/>
    <w:rsid w:val="34AC10D9"/>
    <w:rsid w:val="34C74165"/>
    <w:rsid w:val="34EE34A0"/>
    <w:rsid w:val="34F83CB4"/>
    <w:rsid w:val="34F860CC"/>
    <w:rsid w:val="351C000D"/>
    <w:rsid w:val="351D1FD7"/>
    <w:rsid w:val="35266598"/>
    <w:rsid w:val="352E1AEE"/>
    <w:rsid w:val="352F384C"/>
    <w:rsid w:val="355F614C"/>
    <w:rsid w:val="35672959"/>
    <w:rsid w:val="35697E4A"/>
    <w:rsid w:val="35906305"/>
    <w:rsid w:val="35973B37"/>
    <w:rsid w:val="35CB37E1"/>
    <w:rsid w:val="35CD0035"/>
    <w:rsid w:val="35E12C8E"/>
    <w:rsid w:val="363714B8"/>
    <w:rsid w:val="36405F7D"/>
    <w:rsid w:val="368049F0"/>
    <w:rsid w:val="369D6F2B"/>
    <w:rsid w:val="36A72273"/>
    <w:rsid w:val="36DD1A1E"/>
    <w:rsid w:val="36EA7C97"/>
    <w:rsid w:val="36F54FB9"/>
    <w:rsid w:val="37192788"/>
    <w:rsid w:val="373C4433"/>
    <w:rsid w:val="373F4487"/>
    <w:rsid w:val="37732382"/>
    <w:rsid w:val="3787034C"/>
    <w:rsid w:val="379876F3"/>
    <w:rsid w:val="37B65D16"/>
    <w:rsid w:val="37C246F5"/>
    <w:rsid w:val="37C82A9F"/>
    <w:rsid w:val="37D270A9"/>
    <w:rsid w:val="37D41629"/>
    <w:rsid w:val="38016CD4"/>
    <w:rsid w:val="3840284F"/>
    <w:rsid w:val="387B329C"/>
    <w:rsid w:val="38824072"/>
    <w:rsid w:val="388440AF"/>
    <w:rsid w:val="38A85780"/>
    <w:rsid w:val="38BD5663"/>
    <w:rsid w:val="38C61C36"/>
    <w:rsid w:val="38C70290"/>
    <w:rsid w:val="38CE5AC2"/>
    <w:rsid w:val="38D21625"/>
    <w:rsid w:val="38D27857"/>
    <w:rsid w:val="38E95EAE"/>
    <w:rsid w:val="39012AE1"/>
    <w:rsid w:val="39047736"/>
    <w:rsid w:val="390D6F7F"/>
    <w:rsid w:val="392C27E9"/>
    <w:rsid w:val="394675C9"/>
    <w:rsid w:val="3950297B"/>
    <w:rsid w:val="3958538C"/>
    <w:rsid w:val="395F671A"/>
    <w:rsid w:val="397228F1"/>
    <w:rsid w:val="398E6FFF"/>
    <w:rsid w:val="39BD1693"/>
    <w:rsid w:val="39D65705"/>
    <w:rsid w:val="39EC3979"/>
    <w:rsid w:val="3A03179B"/>
    <w:rsid w:val="3A5244D1"/>
    <w:rsid w:val="3A762831"/>
    <w:rsid w:val="3A86417A"/>
    <w:rsid w:val="3A9D3634"/>
    <w:rsid w:val="3AB7160D"/>
    <w:rsid w:val="3ACE7FFB"/>
    <w:rsid w:val="3AD66EB0"/>
    <w:rsid w:val="3AD71D29"/>
    <w:rsid w:val="3B057795"/>
    <w:rsid w:val="3B245E6D"/>
    <w:rsid w:val="3B5322AF"/>
    <w:rsid w:val="3B714E2B"/>
    <w:rsid w:val="3B775D40"/>
    <w:rsid w:val="3BC211E2"/>
    <w:rsid w:val="3BD038FF"/>
    <w:rsid w:val="3BE51ED5"/>
    <w:rsid w:val="3BE60C08"/>
    <w:rsid w:val="3BE64ED1"/>
    <w:rsid w:val="3BEB698B"/>
    <w:rsid w:val="3BF70E8C"/>
    <w:rsid w:val="3C157564"/>
    <w:rsid w:val="3C1F6635"/>
    <w:rsid w:val="3C2B322B"/>
    <w:rsid w:val="3C586ADB"/>
    <w:rsid w:val="3C6F136A"/>
    <w:rsid w:val="3C836BC3"/>
    <w:rsid w:val="3CA7694E"/>
    <w:rsid w:val="3CB11DA2"/>
    <w:rsid w:val="3CBE5970"/>
    <w:rsid w:val="3CD411CD"/>
    <w:rsid w:val="3D0715A3"/>
    <w:rsid w:val="3D21086E"/>
    <w:rsid w:val="3D3D1A63"/>
    <w:rsid w:val="3D6C58AA"/>
    <w:rsid w:val="3D7A02D0"/>
    <w:rsid w:val="3D7B5AED"/>
    <w:rsid w:val="3D8A5D30"/>
    <w:rsid w:val="3DBF3C2B"/>
    <w:rsid w:val="3DF37421"/>
    <w:rsid w:val="3E0203F7"/>
    <w:rsid w:val="3E054CA0"/>
    <w:rsid w:val="3E233537"/>
    <w:rsid w:val="3E663D4F"/>
    <w:rsid w:val="3E7762B4"/>
    <w:rsid w:val="3E7A3FF6"/>
    <w:rsid w:val="3EA51073"/>
    <w:rsid w:val="3EBC460F"/>
    <w:rsid w:val="3ED10D4C"/>
    <w:rsid w:val="3EF13E60"/>
    <w:rsid w:val="3EFB5050"/>
    <w:rsid w:val="3F211072"/>
    <w:rsid w:val="3F2A77CA"/>
    <w:rsid w:val="3F327526"/>
    <w:rsid w:val="3F52287D"/>
    <w:rsid w:val="3F8C2233"/>
    <w:rsid w:val="3F9904AC"/>
    <w:rsid w:val="3FC27A03"/>
    <w:rsid w:val="3FC75019"/>
    <w:rsid w:val="3FDB6D16"/>
    <w:rsid w:val="3FEA0D08"/>
    <w:rsid w:val="40041DC9"/>
    <w:rsid w:val="40181D19"/>
    <w:rsid w:val="401A060A"/>
    <w:rsid w:val="40307062"/>
    <w:rsid w:val="403F77FF"/>
    <w:rsid w:val="406613A3"/>
    <w:rsid w:val="40721429"/>
    <w:rsid w:val="409A44DC"/>
    <w:rsid w:val="40A01105"/>
    <w:rsid w:val="40CF23D7"/>
    <w:rsid w:val="40E02836"/>
    <w:rsid w:val="40F84B01"/>
    <w:rsid w:val="41196C1F"/>
    <w:rsid w:val="41260B4E"/>
    <w:rsid w:val="412D5350"/>
    <w:rsid w:val="412F731A"/>
    <w:rsid w:val="41601111"/>
    <w:rsid w:val="41695D57"/>
    <w:rsid w:val="419330CA"/>
    <w:rsid w:val="41D35EF7"/>
    <w:rsid w:val="41E974C9"/>
    <w:rsid w:val="41EA4FEF"/>
    <w:rsid w:val="42057C50"/>
    <w:rsid w:val="421F738E"/>
    <w:rsid w:val="422929FF"/>
    <w:rsid w:val="422C5607"/>
    <w:rsid w:val="422F1A41"/>
    <w:rsid w:val="423F6228"/>
    <w:rsid w:val="4250579A"/>
    <w:rsid w:val="42764AD5"/>
    <w:rsid w:val="427A6373"/>
    <w:rsid w:val="42A76F80"/>
    <w:rsid w:val="42B775C7"/>
    <w:rsid w:val="42BA2C13"/>
    <w:rsid w:val="42C925F1"/>
    <w:rsid w:val="42D96BAB"/>
    <w:rsid w:val="431E13F4"/>
    <w:rsid w:val="43361880"/>
    <w:rsid w:val="43362BE2"/>
    <w:rsid w:val="43614A2D"/>
    <w:rsid w:val="437159C8"/>
    <w:rsid w:val="43726BC2"/>
    <w:rsid w:val="437B6846"/>
    <w:rsid w:val="439A453B"/>
    <w:rsid w:val="43AA712C"/>
    <w:rsid w:val="43AD60BF"/>
    <w:rsid w:val="43E048FB"/>
    <w:rsid w:val="44101D29"/>
    <w:rsid w:val="4413460B"/>
    <w:rsid w:val="441B1DD7"/>
    <w:rsid w:val="44212919"/>
    <w:rsid w:val="44215270"/>
    <w:rsid w:val="442F13DF"/>
    <w:rsid w:val="4445108B"/>
    <w:rsid w:val="446A634B"/>
    <w:rsid w:val="446C2633"/>
    <w:rsid w:val="44817E8C"/>
    <w:rsid w:val="449D0A3E"/>
    <w:rsid w:val="449F47B6"/>
    <w:rsid w:val="44A571E8"/>
    <w:rsid w:val="44A75419"/>
    <w:rsid w:val="44C3323C"/>
    <w:rsid w:val="44F2120D"/>
    <w:rsid w:val="451458F7"/>
    <w:rsid w:val="45343151"/>
    <w:rsid w:val="454964D0"/>
    <w:rsid w:val="45761CF7"/>
    <w:rsid w:val="457C60EA"/>
    <w:rsid w:val="457D0E2F"/>
    <w:rsid w:val="45837C34"/>
    <w:rsid w:val="458C4D3B"/>
    <w:rsid w:val="458D50F5"/>
    <w:rsid w:val="45AB2CE7"/>
    <w:rsid w:val="45CE5353"/>
    <w:rsid w:val="45E8036D"/>
    <w:rsid w:val="45EF3078"/>
    <w:rsid w:val="45FA2DA0"/>
    <w:rsid w:val="460F771A"/>
    <w:rsid w:val="46252A99"/>
    <w:rsid w:val="46266A8D"/>
    <w:rsid w:val="46647A66"/>
    <w:rsid w:val="466E4440"/>
    <w:rsid w:val="467F664E"/>
    <w:rsid w:val="469814BD"/>
    <w:rsid w:val="46A42781"/>
    <w:rsid w:val="46A9191C"/>
    <w:rsid w:val="46D63D94"/>
    <w:rsid w:val="46E62229"/>
    <w:rsid w:val="46E666CD"/>
    <w:rsid w:val="46F801AE"/>
    <w:rsid w:val="47077C8F"/>
    <w:rsid w:val="47482EE3"/>
    <w:rsid w:val="47505619"/>
    <w:rsid w:val="47575155"/>
    <w:rsid w:val="475950F1"/>
    <w:rsid w:val="475A6773"/>
    <w:rsid w:val="47687F9E"/>
    <w:rsid w:val="478A34FC"/>
    <w:rsid w:val="47915D02"/>
    <w:rsid w:val="479F1816"/>
    <w:rsid w:val="47A10846"/>
    <w:rsid w:val="47DC70C3"/>
    <w:rsid w:val="47DD66CD"/>
    <w:rsid w:val="47F22E4F"/>
    <w:rsid w:val="48020CF2"/>
    <w:rsid w:val="480908C5"/>
    <w:rsid w:val="482A4397"/>
    <w:rsid w:val="48496F13"/>
    <w:rsid w:val="484F02A2"/>
    <w:rsid w:val="48671147"/>
    <w:rsid w:val="486F26F2"/>
    <w:rsid w:val="48A524D6"/>
    <w:rsid w:val="48BD16AF"/>
    <w:rsid w:val="48D04F3E"/>
    <w:rsid w:val="48EC3D42"/>
    <w:rsid w:val="490C59BB"/>
    <w:rsid w:val="49271743"/>
    <w:rsid w:val="493863CD"/>
    <w:rsid w:val="495E2C9C"/>
    <w:rsid w:val="49725FF6"/>
    <w:rsid w:val="49777AB0"/>
    <w:rsid w:val="497C50C6"/>
    <w:rsid w:val="49F20EE5"/>
    <w:rsid w:val="4A1106F9"/>
    <w:rsid w:val="4A375971"/>
    <w:rsid w:val="4A6D4A0F"/>
    <w:rsid w:val="4AB83EDC"/>
    <w:rsid w:val="4ABB6956"/>
    <w:rsid w:val="4ACB00B3"/>
    <w:rsid w:val="4ADF7108"/>
    <w:rsid w:val="4AFA32A4"/>
    <w:rsid w:val="4B007631"/>
    <w:rsid w:val="4B2D2B36"/>
    <w:rsid w:val="4B502367"/>
    <w:rsid w:val="4B521983"/>
    <w:rsid w:val="4B7B7E18"/>
    <w:rsid w:val="4B840262"/>
    <w:rsid w:val="4B927440"/>
    <w:rsid w:val="4B9A5CD8"/>
    <w:rsid w:val="4BB70638"/>
    <w:rsid w:val="4BD64C87"/>
    <w:rsid w:val="4BE40D01"/>
    <w:rsid w:val="4C0D78CD"/>
    <w:rsid w:val="4C171548"/>
    <w:rsid w:val="4C1B2975"/>
    <w:rsid w:val="4C1E4213"/>
    <w:rsid w:val="4C211F55"/>
    <w:rsid w:val="4C343A36"/>
    <w:rsid w:val="4C6F4A6E"/>
    <w:rsid w:val="4C793B3F"/>
    <w:rsid w:val="4C804ECE"/>
    <w:rsid w:val="4CB6269D"/>
    <w:rsid w:val="4CD62D3F"/>
    <w:rsid w:val="4CE216E4"/>
    <w:rsid w:val="4CF5766A"/>
    <w:rsid w:val="4D292E6F"/>
    <w:rsid w:val="4D372278"/>
    <w:rsid w:val="4D453663"/>
    <w:rsid w:val="4D493511"/>
    <w:rsid w:val="4D495787"/>
    <w:rsid w:val="4D5123C6"/>
    <w:rsid w:val="4D5C1497"/>
    <w:rsid w:val="4D662315"/>
    <w:rsid w:val="4D6E34CC"/>
    <w:rsid w:val="4D8A0000"/>
    <w:rsid w:val="4D9B4759"/>
    <w:rsid w:val="4DA154D2"/>
    <w:rsid w:val="4DA4040F"/>
    <w:rsid w:val="4DC4703C"/>
    <w:rsid w:val="4DD1609C"/>
    <w:rsid w:val="4E192EE4"/>
    <w:rsid w:val="4E395334"/>
    <w:rsid w:val="4E573A0C"/>
    <w:rsid w:val="4E5D72D5"/>
    <w:rsid w:val="4E850579"/>
    <w:rsid w:val="4E86609F"/>
    <w:rsid w:val="4E8E586F"/>
    <w:rsid w:val="4E9133C2"/>
    <w:rsid w:val="4E9B6BE1"/>
    <w:rsid w:val="4F010C54"/>
    <w:rsid w:val="4F0A109E"/>
    <w:rsid w:val="4F230073"/>
    <w:rsid w:val="4F361873"/>
    <w:rsid w:val="4F416B96"/>
    <w:rsid w:val="4F5543EF"/>
    <w:rsid w:val="4F6B5BA6"/>
    <w:rsid w:val="4F8E16AF"/>
    <w:rsid w:val="4F9F566B"/>
    <w:rsid w:val="4FB3209D"/>
    <w:rsid w:val="4FB82BD0"/>
    <w:rsid w:val="4FC43323"/>
    <w:rsid w:val="4FCF0299"/>
    <w:rsid w:val="4FDA48F5"/>
    <w:rsid w:val="4FFF6109"/>
    <w:rsid w:val="502359B7"/>
    <w:rsid w:val="50250266"/>
    <w:rsid w:val="5031764D"/>
    <w:rsid w:val="50463D38"/>
    <w:rsid w:val="50587471"/>
    <w:rsid w:val="506B379F"/>
    <w:rsid w:val="5079410E"/>
    <w:rsid w:val="50BA7B08"/>
    <w:rsid w:val="50BE7150"/>
    <w:rsid w:val="51330760"/>
    <w:rsid w:val="516375F5"/>
    <w:rsid w:val="51646B6C"/>
    <w:rsid w:val="516C329E"/>
    <w:rsid w:val="51914BA1"/>
    <w:rsid w:val="51CD18D3"/>
    <w:rsid w:val="51D325C4"/>
    <w:rsid w:val="51F53573"/>
    <w:rsid w:val="52157E66"/>
    <w:rsid w:val="523B074F"/>
    <w:rsid w:val="52403CEA"/>
    <w:rsid w:val="528B1ED6"/>
    <w:rsid w:val="52C7738F"/>
    <w:rsid w:val="52CA29FF"/>
    <w:rsid w:val="53245061"/>
    <w:rsid w:val="53357120"/>
    <w:rsid w:val="5343196D"/>
    <w:rsid w:val="537723C8"/>
    <w:rsid w:val="53807425"/>
    <w:rsid w:val="538F3C48"/>
    <w:rsid w:val="53900123"/>
    <w:rsid w:val="53BF452D"/>
    <w:rsid w:val="53D855EF"/>
    <w:rsid w:val="541E29CC"/>
    <w:rsid w:val="54745BE1"/>
    <w:rsid w:val="54C31518"/>
    <w:rsid w:val="54E56216"/>
    <w:rsid w:val="55012924"/>
    <w:rsid w:val="55055F70"/>
    <w:rsid w:val="551C775D"/>
    <w:rsid w:val="55376BC9"/>
    <w:rsid w:val="55634FC1"/>
    <w:rsid w:val="55656264"/>
    <w:rsid w:val="556A671B"/>
    <w:rsid w:val="55755C38"/>
    <w:rsid w:val="5579070C"/>
    <w:rsid w:val="55886BA1"/>
    <w:rsid w:val="559865A1"/>
    <w:rsid w:val="55D33BEB"/>
    <w:rsid w:val="5615545B"/>
    <w:rsid w:val="56262642"/>
    <w:rsid w:val="56290384"/>
    <w:rsid w:val="56310FE7"/>
    <w:rsid w:val="56432923"/>
    <w:rsid w:val="566413BC"/>
    <w:rsid w:val="566E5D97"/>
    <w:rsid w:val="56985DCD"/>
    <w:rsid w:val="56B532A8"/>
    <w:rsid w:val="56B61904"/>
    <w:rsid w:val="56BC4D54"/>
    <w:rsid w:val="56C02A96"/>
    <w:rsid w:val="56C53A0B"/>
    <w:rsid w:val="56C67981"/>
    <w:rsid w:val="56DD6A14"/>
    <w:rsid w:val="57193B49"/>
    <w:rsid w:val="571E7ECD"/>
    <w:rsid w:val="57266671"/>
    <w:rsid w:val="572C012C"/>
    <w:rsid w:val="574A6804"/>
    <w:rsid w:val="57574A7D"/>
    <w:rsid w:val="575C2093"/>
    <w:rsid w:val="576A0671"/>
    <w:rsid w:val="57B65C47"/>
    <w:rsid w:val="57C55E8A"/>
    <w:rsid w:val="57EC3417"/>
    <w:rsid w:val="582A3F3F"/>
    <w:rsid w:val="584A7BA0"/>
    <w:rsid w:val="585B059D"/>
    <w:rsid w:val="58605BFD"/>
    <w:rsid w:val="587578B0"/>
    <w:rsid w:val="588307DF"/>
    <w:rsid w:val="58880090"/>
    <w:rsid w:val="588E36A0"/>
    <w:rsid w:val="58A75590"/>
    <w:rsid w:val="58AB1524"/>
    <w:rsid w:val="58C93758"/>
    <w:rsid w:val="58E212D4"/>
    <w:rsid w:val="58E81E30"/>
    <w:rsid w:val="58EE31BF"/>
    <w:rsid w:val="58F5454D"/>
    <w:rsid w:val="58FC58DC"/>
    <w:rsid w:val="590B15D2"/>
    <w:rsid w:val="590D1897"/>
    <w:rsid w:val="592F03D0"/>
    <w:rsid w:val="595474C6"/>
    <w:rsid w:val="59572A90"/>
    <w:rsid w:val="59777658"/>
    <w:rsid w:val="598853C1"/>
    <w:rsid w:val="59AD307A"/>
    <w:rsid w:val="59BE7035"/>
    <w:rsid w:val="59DE3233"/>
    <w:rsid w:val="59FB2B17"/>
    <w:rsid w:val="59FB79D6"/>
    <w:rsid w:val="5A19426B"/>
    <w:rsid w:val="5A226F67"/>
    <w:rsid w:val="5A317807"/>
    <w:rsid w:val="5A421A14"/>
    <w:rsid w:val="5A5654C0"/>
    <w:rsid w:val="5A5E02CB"/>
    <w:rsid w:val="5A70032F"/>
    <w:rsid w:val="5AA1498D"/>
    <w:rsid w:val="5AB3646E"/>
    <w:rsid w:val="5AB6152D"/>
    <w:rsid w:val="5ADE12BE"/>
    <w:rsid w:val="5ADF1011"/>
    <w:rsid w:val="5B3550D5"/>
    <w:rsid w:val="5B392E17"/>
    <w:rsid w:val="5B4B48F9"/>
    <w:rsid w:val="5B51760D"/>
    <w:rsid w:val="5B532FAD"/>
    <w:rsid w:val="5B611599"/>
    <w:rsid w:val="5B8B1199"/>
    <w:rsid w:val="5BB34F4B"/>
    <w:rsid w:val="5BE310B0"/>
    <w:rsid w:val="5BF9A05E"/>
    <w:rsid w:val="5C0351D3"/>
    <w:rsid w:val="5C076A71"/>
    <w:rsid w:val="5C166313"/>
    <w:rsid w:val="5C241CA0"/>
    <w:rsid w:val="5C292E8C"/>
    <w:rsid w:val="5C2B7692"/>
    <w:rsid w:val="5C9F4EFC"/>
    <w:rsid w:val="5CA24B2E"/>
    <w:rsid w:val="5CA47F6C"/>
    <w:rsid w:val="5CA70254"/>
    <w:rsid w:val="5CAB38A1"/>
    <w:rsid w:val="5CC31953"/>
    <w:rsid w:val="5CC606DB"/>
    <w:rsid w:val="5CC74453"/>
    <w:rsid w:val="5CC877DA"/>
    <w:rsid w:val="5CD5091E"/>
    <w:rsid w:val="5CF8460C"/>
    <w:rsid w:val="5CFA0B89"/>
    <w:rsid w:val="5D3A1753"/>
    <w:rsid w:val="5D752FCB"/>
    <w:rsid w:val="5D83037A"/>
    <w:rsid w:val="5DA9535F"/>
    <w:rsid w:val="5DD25814"/>
    <w:rsid w:val="5DD26CE9"/>
    <w:rsid w:val="5DF94AE0"/>
    <w:rsid w:val="5E023994"/>
    <w:rsid w:val="5E1B6804"/>
    <w:rsid w:val="5E3D49CC"/>
    <w:rsid w:val="5E6600EE"/>
    <w:rsid w:val="5E8A398A"/>
    <w:rsid w:val="5EC01F3A"/>
    <w:rsid w:val="5EFC7FF2"/>
    <w:rsid w:val="5EFE107F"/>
    <w:rsid w:val="5F076D88"/>
    <w:rsid w:val="5F236821"/>
    <w:rsid w:val="5F5A335C"/>
    <w:rsid w:val="5F8D54E0"/>
    <w:rsid w:val="5F8E28F9"/>
    <w:rsid w:val="5FC31187"/>
    <w:rsid w:val="5FCD1D80"/>
    <w:rsid w:val="60065C4A"/>
    <w:rsid w:val="600C1E79"/>
    <w:rsid w:val="601B7854"/>
    <w:rsid w:val="602A0F80"/>
    <w:rsid w:val="60874625"/>
    <w:rsid w:val="60AA3E6F"/>
    <w:rsid w:val="60AC7BE7"/>
    <w:rsid w:val="60D1764E"/>
    <w:rsid w:val="60D96503"/>
    <w:rsid w:val="610062FA"/>
    <w:rsid w:val="610417D1"/>
    <w:rsid w:val="61067BB6"/>
    <w:rsid w:val="61072B68"/>
    <w:rsid w:val="61137C66"/>
    <w:rsid w:val="613C71BD"/>
    <w:rsid w:val="613F280A"/>
    <w:rsid w:val="614007DA"/>
    <w:rsid w:val="6141071D"/>
    <w:rsid w:val="6144472D"/>
    <w:rsid w:val="619743F4"/>
    <w:rsid w:val="61C13B66"/>
    <w:rsid w:val="61C359D6"/>
    <w:rsid w:val="61EF2482"/>
    <w:rsid w:val="61EF6BB8"/>
    <w:rsid w:val="6208488F"/>
    <w:rsid w:val="62165C60"/>
    <w:rsid w:val="622D6B06"/>
    <w:rsid w:val="6232236E"/>
    <w:rsid w:val="62367C2E"/>
    <w:rsid w:val="62483940"/>
    <w:rsid w:val="62562501"/>
    <w:rsid w:val="62674953"/>
    <w:rsid w:val="62724E61"/>
    <w:rsid w:val="62903FAE"/>
    <w:rsid w:val="62D60F4C"/>
    <w:rsid w:val="63247F09"/>
    <w:rsid w:val="63267683"/>
    <w:rsid w:val="632F68AE"/>
    <w:rsid w:val="638B61DA"/>
    <w:rsid w:val="639A7DCC"/>
    <w:rsid w:val="63C61514"/>
    <w:rsid w:val="63D538F9"/>
    <w:rsid w:val="63E47130"/>
    <w:rsid w:val="63EB4ECB"/>
    <w:rsid w:val="63F60DD0"/>
    <w:rsid w:val="641461CF"/>
    <w:rsid w:val="644C1557"/>
    <w:rsid w:val="6457430E"/>
    <w:rsid w:val="648D15E2"/>
    <w:rsid w:val="648D7D30"/>
    <w:rsid w:val="64964367"/>
    <w:rsid w:val="64A758F9"/>
    <w:rsid w:val="64E07DDC"/>
    <w:rsid w:val="64E71F99"/>
    <w:rsid w:val="64FA11B2"/>
    <w:rsid w:val="6523084E"/>
    <w:rsid w:val="6535464F"/>
    <w:rsid w:val="65367854"/>
    <w:rsid w:val="65515201"/>
    <w:rsid w:val="65533EE1"/>
    <w:rsid w:val="655645C6"/>
    <w:rsid w:val="65574B95"/>
    <w:rsid w:val="655D3F5A"/>
    <w:rsid w:val="655D7702"/>
    <w:rsid w:val="657F62D1"/>
    <w:rsid w:val="65904F5A"/>
    <w:rsid w:val="6592739A"/>
    <w:rsid w:val="65960E66"/>
    <w:rsid w:val="659925E0"/>
    <w:rsid w:val="65AE717A"/>
    <w:rsid w:val="65C71020"/>
    <w:rsid w:val="65D75478"/>
    <w:rsid w:val="65D82C96"/>
    <w:rsid w:val="65F74FD5"/>
    <w:rsid w:val="660D4F6C"/>
    <w:rsid w:val="661B74FF"/>
    <w:rsid w:val="667429EC"/>
    <w:rsid w:val="667E5B82"/>
    <w:rsid w:val="66BE0674"/>
    <w:rsid w:val="66D86074"/>
    <w:rsid w:val="66F61BBC"/>
    <w:rsid w:val="66FE6CC3"/>
    <w:rsid w:val="67277FC8"/>
    <w:rsid w:val="67283D40"/>
    <w:rsid w:val="673F38FE"/>
    <w:rsid w:val="675B1706"/>
    <w:rsid w:val="675B5EC3"/>
    <w:rsid w:val="675F52FD"/>
    <w:rsid w:val="676C7036"/>
    <w:rsid w:val="67832639"/>
    <w:rsid w:val="679E6165"/>
    <w:rsid w:val="67A376E5"/>
    <w:rsid w:val="67C92A9B"/>
    <w:rsid w:val="67F16C29"/>
    <w:rsid w:val="68183DB4"/>
    <w:rsid w:val="682832FE"/>
    <w:rsid w:val="68283C8B"/>
    <w:rsid w:val="685E5C6B"/>
    <w:rsid w:val="686A0AB4"/>
    <w:rsid w:val="686D4100"/>
    <w:rsid w:val="687529FD"/>
    <w:rsid w:val="68776D2D"/>
    <w:rsid w:val="68A57C30"/>
    <w:rsid w:val="68C1444C"/>
    <w:rsid w:val="690C3919"/>
    <w:rsid w:val="69194288"/>
    <w:rsid w:val="69286279"/>
    <w:rsid w:val="692E3867"/>
    <w:rsid w:val="69313380"/>
    <w:rsid w:val="695B21AB"/>
    <w:rsid w:val="69623539"/>
    <w:rsid w:val="696C085C"/>
    <w:rsid w:val="698A2A90"/>
    <w:rsid w:val="699F29DF"/>
    <w:rsid w:val="69A2602B"/>
    <w:rsid w:val="69A74C44"/>
    <w:rsid w:val="69BF01F1"/>
    <w:rsid w:val="69CC12FA"/>
    <w:rsid w:val="69E95A08"/>
    <w:rsid w:val="6A173B03"/>
    <w:rsid w:val="6A1A2066"/>
    <w:rsid w:val="6A325601"/>
    <w:rsid w:val="6A3273AF"/>
    <w:rsid w:val="6A366774"/>
    <w:rsid w:val="6A6D2696"/>
    <w:rsid w:val="6A8E035E"/>
    <w:rsid w:val="6AB62BC4"/>
    <w:rsid w:val="6AC94BD5"/>
    <w:rsid w:val="6AFE1987"/>
    <w:rsid w:val="6B1765A5"/>
    <w:rsid w:val="6B234F4A"/>
    <w:rsid w:val="6B56531F"/>
    <w:rsid w:val="6B8E2D0B"/>
    <w:rsid w:val="6BAF67DE"/>
    <w:rsid w:val="6BBD1CC2"/>
    <w:rsid w:val="6BD3071E"/>
    <w:rsid w:val="6BE64EB6"/>
    <w:rsid w:val="6C0E1756"/>
    <w:rsid w:val="6C371933"/>
    <w:rsid w:val="6C553E3A"/>
    <w:rsid w:val="6C9500C9"/>
    <w:rsid w:val="6CB87831"/>
    <w:rsid w:val="6CC820E6"/>
    <w:rsid w:val="6CD81D64"/>
    <w:rsid w:val="6CEB2412"/>
    <w:rsid w:val="6CFF5543"/>
    <w:rsid w:val="6D284A9A"/>
    <w:rsid w:val="6D4B177C"/>
    <w:rsid w:val="6DD469CF"/>
    <w:rsid w:val="6DEE7A91"/>
    <w:rsid w:val="6DF073B5"/>
    <w:rsid w:val="6DF26DC9"/>
    <w:rsid w:val="6E35746E"/>
    <w:rsid w:val="6E5673E4"/>
    <w:rsid w:val="6E5747E6"/>
    <w:rsid w:val="6E7F5565"/>
    <w:rsid w:val="6EB324D2"/>
    <w:rsid w:val="6EC41DCE"/>
    <w:rsid w:val="6EE82732"/>
    <w:rsid w:val="6F073CD2"/>
    <w:rsid w:val="6F307C36"/>
    <w:rsid w:val="6F40631D"/>
    <w:rsid w:val="6F4B0F13"/>
    <w:rsid w:val="6F7A25F6"/>
    <w:rsid w:val="6F976B08"/>
    <w:rsid w:val="6F993A2D"/>
    <w:rsid w:val="6F9B77A5"/>
    <w:rsid w:val="6FA7614A"/>
    <w:rsid w:val="6FAE324D"/>
    <w:rsid w:val="6FB673DF"/>
    <w:rsid w:val="6FC00FB9"/>
    <w:rsid w:val="6FCB313B"/>
    <w:rsid w:val="6FD57B29"/>
    <w:rsid w:val="6FD9651F"/>
    <w:rsid w:val="6FDD600F"/>
    <w:rsid w:val="6FFF2BCE"/>
    <w:rsid w:val="704C0A9F"/>
    <w:rsid w:val="705F4C76"/>
    <w:rsid w:val="7064228D"/>
    <w:rsid w:val="7099406B"/>
    <w:rsid w:val="709E7B58"/>
    <w:rsid w:val="709F5073"/>
    <w:rsid w:val="70B70861"/>
    <w:rsid w:val="70BC5C25"/>
    <w:rsid w:val="70C024F0"/>
    <w:rsid w:val="70E37655"/>
    <w:rsid w:val="70FE623D"/>
    <w:rsid w:val="710D7983"/>
    <w:rsid w:val="71153587"/>
    <w:rsid w:val="711D7A43"/>
    <w:rsid w:val="712E54D4"/>
    <w:rsid w:val="713078B7"/>
    <w:rsid w:val="71413947"/>
    <w:rsid w:val="7141437C"/>
    <w:rsid w:val="71B903B6"/>
    <w:rsid w:val="71E44313"/>
    <w:rsid w:val="71EC253A"/>
    <w:rsid w:val="72121DF6"/>
    <w:rsid w:val="72233A82"/>
    <w:rsid w:val="72443276"/>
    <w:rsid w:val="725956F5"/>
    <w:rsid w:val="72605EE6"/>
    <w:rsid w:val="726E2F4F"/>
    <w:rsid w:val="72734A09"/>
    <w:rsid w:val="727F074F"/>
    <w:rsid w:val="72B654DE"/>
    <w:rsid w:val="72BD7E15"/>
    <w:rsid w:val="72C25048"/>
    <w:rsid w:val="72E17BC5"/>
    <w:rsid w:val="7300510D"/>
    <w:rsid w:val="730D6092"/>
    <w:rsid w:val="730F10D1"/>
    <w:rsid w:val="735859AD"/>
    <w:rsid w:val="735F6D3B"/>
    <w:rsid w:val="73935567"/>
    <w:rsid w:val="73B057E9"/>
    <w:rsid w:val="73BD773A"/>
    <w:rsid w:val="73C61ADF"/>
    <w:rsid w:val="73E01C2A"/>
    <w:rsid w:val="74116287"/>
    <w:rsid w:val="741221C2"/>
    <w:rsid w:val="7422465F"/>
    <w:rsid w:val="74634609"/>
    <w:rsid w:val="74855837"/>
    <w:rsid w:val="74856C75"/>
    <w:rsid w:val="74895730"/>
    <w:rsid w:val="74B51309"/>
    <w:rsid w:val="74C07CAE"/>
    <w:rsid w:val="74C257D4"/>
    <w:rsid w:val="74CC21AE"/>
    <w:rsid w:val="74E514C2"/>
    <w:rsid w:val="750758DC"/>
    <w:rsid w:val="751A5610"/>
    <w:rsid w:val="7522657D"/>
    <w:rsid w:val="753064B9"/>
    <w:rsid w:val="75690ED6"/>
    <w:rsid w:val="757E1548"/>
    <w:rsid w:val="75986535"/>
    <w:rsid w:val="759A22AD"/>
    <w:rsid w:val="759C24D2"/>
    <w:rsid w:val="75B229AC"/>
    <w:rsid w:val="75D457BF"/>
    <w:rsid w:val="75DA08FB"/>
    <w:rsid w:val="75E3395A"/>
    <w:rsid w:val="76120095"/>
    <w:rsid w:val="76283D5C"/>
    <w:rsid w:val="76442312"/>
    <w:rsid w:val="765C57B4"/>
    <w:rsid w:val="7677439C"/>
    <w:rsid w:val="76BF4D2C"/>
    <w:rsid w:val="76DFF3BC"/>
    <w:rsid w:val="770E2F52"/>
    <w:rsid w:val="771340C5"/>
    <w:rsid w:val="77274014"/>
    <w:rsid w:val="77444BC6"/>
    <w:rsid w:val="775B5A6C"/>
    <w:rsid w:val="777F79AC"/>
    <w:rsid w:val="77AE0291"/>
    <w:rsid w:val="77C64172"/>
    <w:rsid w:val="77D33689"/>
    <w:rsid w:val="77E108A2"/>
    <w:rsid w:val="77FF0865"/>
    <w:rsid w:val="780E2ADE"/>
    <w:rsid w:val="782F4F2E"/>
    <w:rsid w:val="7867302D"/>
    <w:rsid w:val="78CF04BF"/>
    <w:rsid w:val="78DD2BDC"/>
    <w:rsid w:val="78E977D3"/>
    <w:rsid w:val="79077C59"/>
    <w:rsid w:val="79275B38"/>
    <w:rsid w:val="792D64D2"/>
    <w:rsid w:val="79646E59"/>
    <w:rsid w:val="799F60E4"/>
    <w:rsid w:val="79AD5421"/>
    <w:rsid w:val="79B24069"/>
    <w:rsid w:val="79B31B8F"/>
    <w:rsid w:val="79CF180D"/>
    <w:rsid w:val="79D815F5"/>
    <w:rsid w:val="79E47F9A"/>
    <w:rsid w:val="79EE2BC7"/>
    <w:rsid w:val="79F521A7"/>
    <w:rsid w:val="7A603AC5"/>
    <w:rsid w:val="7A760E66"/>
    <w:rsid w:val="7A7E219D"/>
    <w:rsid w:val="7A8C22DE"/>
    <w:rsid w:val="7AA15071"/>
    <w:rsid w:val="7AB35715"/>
    <w:rsid w:val="7ADA6E1B"/>
    <w:rsid w:val="7AFD57B8"/>
    <w:rsid w:val="7B346CFF"/>
    <w:rsid w:val="7B3A2568"/>
    <w:rsid w:val="7B4A207F"/>
    <w:rsid w:val="7B964105"/>
    <w:rsid w:val="7B9D48A5"/>
    <w:rsid w:val="7BA14395"/>
    <w:rsid w:val="7BB53769"/>
    <w:rsid w:val="7BD52290"/>
    <w:rsid w:val="7BE1477E"/>
    <w:rsid w:val="7BE14791"/>
    <w:rsid w:val="7BF2699E"/>
    <w:rsid w:val="7C2E374F"/>
    <w:rsid w:val="7C2F7BF3"/>
    <w:rsid w:val="7C6F6241"/>
    <w:rsid w:val="7C94028B"/>
    <w:rsid w:val="7C9F7FDE"/>
    <w:rsid w:val="7CA57EB5"/>
    <w:rsid w:val="7CA97FA9"/>
    <w:rsid w:val="7CAA1027"/>
    <w:rsid w:val="7CBB1486"/>
    <w:rsid w:val="7CC3033B"/>
    <w:rsid w:val="7CEC7892"/>
    <w:rsid w:val="7CED596F"/>
    <w:rsid w:val="7CFB18E8"/>
    <w:rsid w:val="7D254B52"/>
    <w:rsid w:val="7D2F545D"/>
    <w:rsid w:val="7D667E52"/>
    <w:rsid w:val="7D6E02A7"/>
    <w:rsid w:val="7D7576FD"/>
    <w:rsid w:val="7D9615AC"/>
    <w:rsid w:val="7DAF38C3"/>
    <w:rsid w:val="7DBFC2EB"/>
    <w:rsid w:val="7DE247F1"/>
    <w:rsid w:val="7E132BFC"/>
    <w:rsid w:val="7E207A50"/>
    <w:rsid w:val="7E68119A"/>
    <w:rsid w:val="7E717CED"/>
    <w:rsid w:val="7EA85A3A"/>
    <w:rsid w:val="7EB7AA01"/>
    <w:rsid w:val="7ECB1729"/>
    <w:rsid w:val="7ECEF066"/>
    <w:rsid w:val="7EDC7492"/>
    <w:rsid w:val="7EF0650D"/>
    <w:rsid w:val="7F141322"/>
    <w:rsid w:val="7F291893"/>
    <w:rsid w:val="7F345520"/>
    <w:rsid w:val="7F403EC5"/>
    <w:rsid w:val="7F460599"/>
    <w:rsid w:val="7F484B27"/>
    <w:rsid w:val="7F623E3B"/>
    <w:rsid w:val="7F66C19E"/>
    <w:rsid w:val="7F671451"/>
    <w:rsid w:val="7F6851CA"/>
    <w:rsid w:val="7FC25F63"/>
    <w:rsid w:val="7FCF6FF7"/>
    <w:rsid w:val="7FE3062C"/>
    <w:rsid w:val="7FF058EB"/>
    <w:rsid w:val="7FF32CE5"/>
    <w:rsid w:val="7FF54CAF"/>
    <w:rsid w:val="7FFA69B3"/>
    <w:rsid w:val="A4EFBF90"/>
    <w:rsid w:val="BFFF6176"/>
    <w:rsid w:val="DF676FFB"/>
    <w:rsid w:val="E538DC5F"/>
    <w:rsid w:val="ED7CC897"/>
    <w:rsid w:val="F0DF08A9"/>
    <w:rsid w:val="F3FE986C"/>
    <w:rsid w:val="F6EF5021"/>
    <w:rsid w:val="F7FE38B3"/>
    <w:rsid w:val="FF3B3419"/>
    <w:rsid w:val="FF7D5F5B"/>
    <w:rsid w:val="FFDE14B7"/>
    <w:rsid w:val="FFF7C0B9"/>
    <w:rsid w:val="FFFF5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3"/>
    <w:qFormat/>
    <w:uiPriority w:val="0"/>
    <w:pPr>
      <w:keepNext/>
      <w:keepLines/>
      <w:spacing w:before="340" w:after="330" w:line="560" w:lineRule="exact"/>
      <w:ind w:firstLine="700" w:firstLineChars="200"/>
      <w:outlineLvl w:val="0"/>
    </w:pPr>
    <w:rPr>
      <w:rFonts w:eastAsia="黑体"/>
      <w:b/>
      <w:kern w:val="44"/>
      <w:sz w:val="32"/>
    </w:rPr>
  </w:style>
  <w:style w:type="paragraph" w:styleId="4">
    <w:name w:val="heading 2"/>
    <w:basedOn w:val="1"/>
    <w:next w:val="1"/>
    <w:link w:val="54"/>
    <w:unhideWhenUsed/>
    <w:qFormat/>
    <w:uiPriority w:val="0"/>
    <w:pPr>
      <w:keepNext/>
      <w:keepLines/>
      <w:spacing w:before="260" w:after="260" w:line="560" w:lineRule="exact"/>
      <w:ind w:firstLine="700" w:firstLineChars="200"/>
      <w:outlineLvl w:val="1"/>
    </w:pPr>
    <w:rPr>
      <w:rFonts w:ascii="Arial" w:hAnsi="Arial" w:eastAsia="楷体"/>
      <w:b/>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5">
    <w:name w:val="annotation text"/>
    <w:basedOn w:val="1"/>
    <w:qFormat/>
    <w:uiPriority w:val="0"/>
    <w:pPr>
      <w:jc w:val="left"/>
    </w:pPr>
  </w:style>
  <w:style w:type="paragraph" w:styleId="6">
    <w:name w:val="Body Text"/>
    <w:basedOn w:val="1"/>
    <w:qFormat/>
    <w:uiPriority w:val="1"/>
    <w:rPr>
      <w:sz w:val="32"/>
      <w:szCs w:val="32"/>
    </w:rPr>
  </w:style>
  <w:style w:type="paragraph" w:styleId="7">
    <w:name w:val="Balloon Text"/>
    <w:basedOn w:val="1"/>
    <w:link w:val="55"/>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link w:val="59"/>
    <w:qFormat/>
    <w:uiPriority w:val="0"/>
  </w:style>
  <w:style w:type="paragraph" w:styleId="11">
    <w:name w:val="footnote text"/>
    <w:basedOn w:val="1"/>
    <w:qFormat/>
    <w:uiPriority w:val="0"/>
    <w:pPr>
      <w:snapToGrid w:val="0"/>
      <w:jc w:val="left"/>
    </w:pPr>
    <w:rPr>
      <w:sz w:val="18"/>
    </w:rPr>
  </w:style>
  <w:style w:type="paragraph" w:styleId="12">
    <w:name w:val="toc 2"/>
    <w:basedOn w:val="1"/>
    <w:next w:val="1"/>
    <w:link w:val="60"/>
    <w:qFormat/>
    <w:uiPriority w:val="0"/>
    <w:pPr>
      <w:ind w:left="420" w:left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bCs/>
    </w:rPr>
  </w:style>
  <w:style w:type="character" w:styleId="17">
    <w:name w:val="page number"/>
    <w:basedOn w:val="15"/>
    <w:qFormat/>
    <w:uiPriority w:val="0"/>
  </w:style>
  <w:style w:type="character" w:styleId="18">
    <w:name w:val="FollowedHyperlink"/>
    <w:basedOn w:val="15"/>
    <w:qFormat/>
    <w:uiPriority w:val="0"/>
    <w:rPr>
      <w:color w:val="800080"/>
      <w:u w:val="none"/>
    </w:rPr>
  </w:style>
  <w:style w:type="character" w:styleId="19">
    <w:name w:val="HTML Definition"/>
    <w:basedOn w:val="15"/>
    <w:qFormat/>
    <w:uiPriority w:val="0"/>
  </w:style>
  <w:style w:type="character" w:styleId="20">
    <w:name w:val="HTML Variable"/>
    <w:basedOn w:val="15"/>
    <w:qFormat/>
    <w:uiPriority w:val="0"/>
  </w:style>
  <w:style w:type="character" w:styleId="21">
    <w:name w:val="Hyperlink"/>
    <w:basedOn w:val="15"/>
    <w:qFormat/>
    <w:uiPriority w:val="0"/>
    <w:rPr>
      <w:color w:val="0000FF"/>
      <w:u w:val="none"/>
    </w:rPr>
  </w:style>
  <w:style w:type="character" w:styleId="22">
    <w:name w:val="HTML Code"/>
    <w:basedOn w:val="15"/>
    <w:qFormat/>
    <w:uiPriority w:val="0"/>
    <w:rPr>
      <w:rFonts w:ascii="Courier New" w:hAnsi="Courier New"/>
      <w:sz w:val="20"/>
    </w:rPr>
  </w:style>
  <w:style w:type="character" w:styleId="23">
    <w:name w:val="annotation reference"/>
    <w:basedOn w:val="15"/>
    <w:qFormat/>
    <w:uiPriority w:val="0"/>
    <w:rPr>
      <w:sz w:val="21"/>
      <w:szCs w:val="21"/>
    </w:rPr>
  </w:style>
  <w:style w:type="character" w:styleId="24">
    <w:name w:val="HTML Cite"/>
    <w:basedOn w:val="15"/>
    <w:qFormat/>
    <w:uiPriority w:val="0"/>
  </w:style>
  <w:style w:type="character" w:styleId="25">
    <w:name w:val="footnote reference"/>
    <w:basedOn w:val="15"/>
    <w:qFormat/>
    <w:uiPriority w:val="0"/>
    <w:rPr>
      <w:vertAlign w:val="superscript"/>
    </w:rPr>
  </w:style>
  <w:style w:type="paragraph" w:customStyle="1" w:styleId="26">
    <w:name w:val="Char"/>
    <w:basedOn w:val="1"/>
    <w:qFormat/>
    <w:uiPriority w:val="0"/>
    <w:rPr>
      <w:rFonts w:ascii="宋体" w:hAnsi="宋体" w:cs="Courier New"/>
      <w:sz w:val="32"/>
      <w:szCs w:val="32"/>
    </w:rPr>
  </w:style>
  <w:style w:type="paragraph" w:customStyle="1" w:styleId="27">
    <w:name w:val="Char1"/>
    <w:basedOn w:val="1"/>
    <w:qFormat/>
    <w:uiPriority w:val="0"/>
  </w:style>
  <w:style w:type="paragraph" w:customStyle="1" w:styleId="28">
    <w:name w:val="p0"/>
    <w:basedOn w:val="1"/>
    <w:qFormat/>
    <w:uiPriority w:val="0"/>
    <w:pPr>
      <w:widowControl/>
    </w:pPr>
    <w:rPr>
      <w:kern w:val="0"/>
      <w:szCs w:val="21"/>
    </w:rPr>
  </w:style>
  <w:style w:type="character" w:customStyle="1" w:styleId="29">
    <w:name w:val="item-middle"/>
    <w:basedOn w:val="15"/>
    <w:qFormat/>
    <w:uiPriority w:val="0"/>
  </w:style>
  <w:style w:type="character" w:customStyle="1" w:styleId="30">
    <w:name w:val="image"/>
    <w:basedOn w:val="15"/>
    <w:qFormat/>
    <w:uiPriority w:val="0"/>
  </w:style>
  <w:style w:type="character" w:customStyle="1" w:styleId="31">
    <w:name w:val="image2"/>
    <w:basedOn w:val="15"/>
    <w:qFormat/>
    <w:uiPriority w:val="0"/>
  </w:style>
  <w:style w:type="character" w:customStyle="1" w:styleId="32">
    <w:name w:val="image3"/>
    <w:basedOn w:val="15"/>
    <w:qFormat/>
    <w:uiPriority w:val="0"/>
  </w:style>
  <w:style w:type="character" w:customStyle="1" w:styleId="33">
    <w:name w:val="ui-state-hover21"/>
    <w:basedOn w:val="15"/>
    <w:qFormat/>
    <w:uiPriority w:val="0"/>
  </w:style>
  <w:style w:type="character" w:customStyle="1" w:styleId="34">
    <w:name w:val="ui-state-active5"/>
    <w:basedOn w:val="15"/>
    <w:qFormat/>
    <w:uiPriority w:val="0"/>
  </w:style>
  <w:style w:type="character" w:customStyle="1" w:styleId="35">
    <w:name w:val="ui-state-default12"/>
    <w:basedOn w:val="15"/>
    <w:qFormat/>
    <w:uiPriority w:val="0"/>
  </w:style>
  <w:style w:type="character" w:customStyle="1" w:styleId="36">
    <w:name w:val="ui-state-default13"/>
    <w:basedOn w:val="15"/>
    <w:qFormat/>
    <w:uiPriority w:val="0"/>
  </w:style>
  <w:style w:type="character" w:customStyle="1" w:styleId="37">
    <w:name w:val="clicked1"/>
    <w:basedOn w:val="15"/>
    <w:qFormat/>
    <w:uiPriority w:val="0"/>
    <w:rPr>
      <w:color w:val="000000"/>
    </w:rPr>
  </w:style>
  <w:style w:type="character" w:customStyle="1" w:styleId="38">
    <w:name w:val="clicked2"/>
    <w:basedOn w:val="15"/>
    <w:qFormat/>
    <w:uiPriority w:val="0"/>
  </w:style>
  <w:style w:type="character" w:customStyle="1" w:styleId="39">
    <w:name w:val="clicked3"/>
    <w:basedOn w:val="15"/>
    <w:qFormat/>
    <w:uiPriority w:val="0"/>
  </w:style>
  <w:style w:type="character" w:customStyle="1" w:styleId="40">
    <w:name w:val="button-hover"/>
    <w:basedOn w:val="15"/>
    <w:qFormat/>
    <w:uiPriority w:val="0"/>
  </w:style>
  <w:style w:type="character" w:customStyle="1" w:styleId="41">
    <w:name w:val="button-hover1"/>
    <w:basedOn w:val="15"/>
    <w:qFormat/>
    <w:uiPriority w:val="0"/>
  </w:style>
  <w:style w:type="character" w:customStyle="1" w:styleId="42">
    <w:name w:val="group"/>
    <w:basedOn w:val="15"/>
    <w:qFormat/>
    <w:uiPriority w:val="0"/>
  </w:style>
  <w:style w:type="character" w:customStyle="1" w:styleId="43">
    <w:name w:val="directchildrenspan"/>
    <w:basedOn w:val="15"/>
    <w:qFormat/>
    <w:uiPriority w:val="0"/>
  </w:style>
  <w:style w:type="character" w:customStyle="1" w:styleId="44">
    <w:name w:val="imgspan"/>
    <w:basedOn w:val="15"/>
    <w:qFormat/>
    <w:uiPriority w:val="0"/>
  </w:style>
  <w:style w:type="character" w:customStyle="1" w:styleId="45">
    <w:name w:val="ui-icon34"/>
    <w:basedOn w:val="15"/>
    <w:qFormat/>
    <w:uiPriority w:val="0"/>
  </w:style>
  <w:style w:type="character" w:customStyle="1" w:styleId="46">
    <w:name w:val="newstitle"/>
    <w:basedOn w:val="15"/>
    <w:qFormat/>
    <w:uiPriority w:val="0"/>
    <w:rPr>
      <w:b/>
      <w:color w:val="000000"/>
      <w:sz w:val="24"/>
      <w:szCs w:val="24"/>
    </w:rPr>
  </w:style>
  <w:style w:type="character" w:customStyle="1" w:styleId="47">
    <w:name w:val="ui-state-hover"/>
    <w:basedOn w:val="15"/>
    <w:qFormat/>
    <w:uiPriority w:val="0"/>
  </w:style>
  <w:style w:type="character" w:customStyle="1" w:styleId="48">
    <w:name w:val="image1"/>
    <w:basedOn w:val="15"/>
    <w:qFormat/>
    <w:uiPriority w:val="0"/>
  </w:style>
  <w:style w:type="character" w:customStyle="1" w:styleId="49">
    <w:name w:val="clicked"/>
    <w:basedOn w:val="15"/>
    <w:qFormat/>
    <w:uiPriority w:val="0"/>
  </w:style>
  <w:style w:type="character" w:customStyle="1" w:styleId="50">
    <w:name w:val="ui-state-active"/>
    <w:basedOn w:val="15"/>
    <w:qFormat/>
    <w:uiPriority w:val="0"/>
  </w:style>
  <w:style w:type="character" w:customStyle="1" w:styleId="51">
    <w:name w:val="ui-icon33"/>
    <w:basedOn w:val="15"/>
    <w:qFormat/>
    <w:uiPriority w:val="0"/>
  </w:style>
  <w:style w:type="character" w:customStyle="1" w:styleId="52">
    <w:name w:val="ui-state-active6"/>
    <w:basedOn w:val="15"/>
    <w:qFormat/>
    <w:uiPriority w:val="0"/>
  </w:style>
  <w:style w:type="character" w:customStyle="1" w:styleId="53">
    <w:name w:val="标题 1 Char"/>
    <w:link w:val="3"/>
    <w:qFormat/>
    <w:uiPriority w:val="0"/>
    <w:rPr>
      <w:rFonts w:ascii="Times New Roman" w:hAnsi="Times New Roman" w:eastAsia="黑体"/>
      <w:b/>
      <w:kern w:val="44"/>
      <w:sz w:val="32"/>
    </w:rPr>
  </w:style>
  <w:style w:type="character" w:customStyle="1" w:styleId="54">
    <w:name w:val="标题 2 Char"/>
    <w:link w:val="4"/>
    <w:qFormat/>
    <w:uiPriority w:val="0"/>
    <w:rPr>
      <w:rFonts w:ascii="Arial" w:hAnsi="Arial" w:eastAsia="楷体"/>
      <w:b/>
      <w:sz w:val="32"/>
    </w:rPr>
  </w:style>
  <w:style w:type="character" w:customStyle="1" w:styleId="55">
    <w:name w:val="批注框文本 Char"/>
    <w:basedOn w:val="15"/>
    <w:link w:val="7"/>
    <w:qFormat/>
    <w:uiPriority w:val="0"/>
    <w:rPr>
      <w:kern w:val="2"/>
      <w:sz w:val="18"/>
      <w:szCs w:val="18"/>
    </w:rPr>
  </w:style>
  <w:style w:type="paragraph" w:customStyle="1" w:styleId="56">
    <w:name w:val="WPSOffice手动目录 1"/>
    <w:qFormat/>
    <w:uiPriority w:val="0"/>
    <w:rPr>
      <w:rFonts w:ascii="Times New Roman" w:hAnsi="Times New Roman" w:eastAsia="宋体" w:cs="Times New Roman"/>
      <w:lang w:val="en-US" w:eastAsia="zh-CN" w:bidi="ar-SA"/>
    </w:rPr>
  </w:style>
  <w:style w:type="paragraph" w:customStyle="1" w:styleId="57">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58">
    <w:name w:val="font01"/>
    <w:basedOn w:val="15"/>
    <w:qFormat/>
    <w:uiPriority w:val="0"/>
    <w:rPr>
      <w:rFonts w:hint="eastAsia" w:ascii="宋体" w:hAnsi="宋体" w:eastAsia="宋体" w:cs="宋体"/>
      <w:color w:val="000000"/>
      <w:sz w:val="44"/>
      <w:szCs w:val="44"/>
      <w:u w:val="none"/>
    </w:rPr>
  </w:style>
  <w:style w:type="character" w:customStyle="1" w:styleId="59">
    <w:name w:val="目录 1 Char"/>
    <w:link w:val="10"/>
    <w:qFormat/>
    <w:uiPriority w:val="0"/>
  </w:style>
  <w:style w:type="character" w:customStyle="1" w:styleId="60">
    <w:name w:val="目录 2 Char"/>
    <w:link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23</Pages>
  <Words>7196</Words>
  <Characters>8959</Characters>
  <Lines>102</Lines>
  <Paragraphs>28</Paragraphs>
  <TotalTime>12</TotalTime>
  <ScaleCrop>false</ScaleCrop>
  <LinksUpToDate>false</LinksUpToDate>
  <CharactersWithSpaces>9326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2022-04-19T20:29:00Z</dcterms:created>
  <dc:creator>chengws</dc:creator>
  <cp:lastModifiedBy>lenovo</cp:lastModifiedBy>
  <cp:lastPrinted>2022-04-15T17:24:00Z</cp:lastPrinted>
  <dcterms:modified xsi:type="dcterms:W3CDTF">2023-03-06T02:09:54Z</dcterms:modified>
  <dc:title>附件1：省级部门预算公开说明样式</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4C134B6889F848E7A76313CDE5952044</vt:lpwstr>
  </property>
</Properties>
</file>