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大标宋_GBK" w:eastAsia="仿宋_GB2312" w:cs="方正大标宋_GBK"/>
          <w:bCs/>
          <w:sz w:val="30"/>
          <w:szCs w:val="30"/>
        </w:rPr>
      </w:pPr>
      <w:r>
        <w:rPr>
          <w:rFonts w:hint="eastAsia" w:ascii="仿宋_GB2312" w:hAnsi="方正大标宋_GBK" w:eastAsia="仿宋_GB2312" w:cs="方正大标宋_GBK"/>
          <w:bCs/>
          <w:sz w:val="30"/>
          <w:szCs w:val="30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</w:rPr>
        <w:t>日程安排表</w:t>
      </w:r>
    </w:p>
    <w:tbl>
      <w:tblPr>
        <w:tblStyle w:val="2"/>
        <w:tblpPr w:leftFromText="180" w:rightFromText="180" w:vertAnchor="text" w:horzAnchor="page" w:tblpXSpec="center" w:tblpY="5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71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时  间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1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9日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（周一）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全天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晚上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研修班课前会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10日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（周二）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上午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名师讲堂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主题：建构新时代社会美育体系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主讲人：马菁汝（中央美术学院教授、博士生导师）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下午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名师讲堂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主题：基于新课标的校外美术实践活动的开展与创作建议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主讲人：纪东（北京市少年宫美术教学部部长、正高级教师）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晚上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例+实操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主题：大概念引领下儿童绘本项目式课程设计与实施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主讲人：尤敏红（无锡市少年宫教研部主任、书画部部长）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11日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（周三）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上午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名师讲堂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主题：花鸟画的写生与创作方法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主讲人：金宏（德州青少年宫副主任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中学高级教师）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下午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专题交流（与会代表可针对感兴趣的话题做准备）</w:t>
            </w:r>
          </w:p>
          <w:p>
            <w:pPr>
              <w:spacing w:line="360" w:lineRule="exact"/>
              <w:ind w:left="1050" w:hanging="1050" w:hangingChars="5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 如何更好的组织开展符合学科规律的实践活动</w:t>
            </w:r>
          </w:p>
          <w:p>
            <w:pPr>
              <w:spacing w:line="360" w:lineRule="exact"/>
              <w:ind w:left="1050" w:hanging="1050" w:hangingChars="5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 教育教学活动的评价标准、方法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 优秀作品的分析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主持人：纪东（北京市少年宫美术教学部部长、正高级教师）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晚上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例+实操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主题：当代少儿实验艺术水墨课题的实践研究及教学案例解析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主讲人：杨利玲（成都市青少年宫美术教师）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12日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（周四）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上午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美术采风：走进冀鲁边区纪念馆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下午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美术采风：千年枣林、百枣园写生活动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13日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（周五）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上午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实地调研：参观德州青少年宫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下午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（备注：具体日程安排以报到日领取材料为准）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仿宋_GB2312" w:hAnsi="方正大标宋_GBK" w:eastAsia="仿宋_GB2312" w:cs="方正大标宋_GBK"/>
          <w:bCs/>
          <w:sz w:val="30"/>
          <w:szCs w:val="30"/>
        </w:rPr>
      </w:pPr>
      <w:r>
        <w:rPr>
          <w:rFonts w:hint="eastAsia" w:ascii="仿宋_GB2312" w:hAnsi="方正大标宋_GBK" w:eastAsia="仿宋_GB2312" w:cs="方正大标宋_GBK"/>
          <w:bCs/>
          <w:sz w:val="30"/>
          <w:szCs w:val="30"/>
        </w:rPr>
        <w:br w:type="page"/>
      </w:r>
      <w:r>
        <w:rPr>
          <w:rFonts w:hint="eastAsia" w:ascii="仿宋_GB2312" w:hAnsi="方正大标宋_GBK" w:eastAsia="仿宋_GB2312" w:cs="方正大标宋_GBK"/>
          <w:bCs/>
          <w:sz w:val="30"/>
          <w:szCs w:val="30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报名表</w:t>
      </w:r>
    </w:p>
    <w:p>
      <w:pPr>
        <w:spacing w:line="520" w:lineRule="exact"/>
        <w:ind w:left="560"/>
        <w:jc w:val="center"/>
        <w:rPr>
          <w:rFonts w:ascii="Times New Roman" w:hAnsi="Times New Roman" w:eastAsia="方正仿宋简体" w:cs="Times New Roman"/>
          <w:b/>
          <w:sz w:val="28"/>
          <w:szCs w:val="28"/>
        </w:rPr>
      </w:pPr>
    </w:p>
    <w:tbl>
      <w:tblPr>
        <w:tblStyle w:val="2"/>
        <w:tblW w:w="93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14"/>
        <w:gridCol w:w="1859"/>
        <w:gridCol w:w="1464"/>
        <w:gridCol w:w="1516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单位名称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11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性 别</w:t>
            </w:r>
          </w:p>
        </w:tc>
        <w:tc>
          <w:tcPr>
            <w:tcW w:w="185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职 务</w:t>
            </w:r>
          </w:p>
        </w:tc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手机号</w:t>
            </w: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身份证号</w:t>
            </w: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专题交流会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拟发言题目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联系人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饮食要求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无特殊要求   </w:t>
            </w: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清真   </w:t>
            </w: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素食（请划勾）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抵达时间/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交通工具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返程时间/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交通工具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预定房间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数量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准单人间：</w:t>
            </w:r>
          </w:p>
          <w:p>
            <w:pPr>
              <w:spacing w:line="52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标准双人间：</w:t>
            </w:r>
          </w:p>
          <w:p>
            <w:pPr>
              <w:spacing w:line="52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豪华单人间：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备注：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1. 专题交流会主题（针对自己感兴趣的话题做准备）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（1）如何更好的组织开展符合学科规律的实践活动。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（2）教育教学活动的评价标准、方法。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（3）优秀作品的分析。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2. 酒店房费参考标准：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（1）标准单人间：278元/晚 （2）标准双人间：300元/晚 （3）豪华单人间：300元/晚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3. 身份证号用于购买意外保险。</w:t>
      </w:r>
    </w:p>
    <w:p>
      <w:pPr>
        <w:spacing w:line="520" w:lineRule="exact"/>
        <w:rPr>
          <w:rFonts w:ascii="Times New Roman" w:hAnsi="Times New Roman" w:eastAsia="方正仿宋简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方正仿宋简体" w:cs="Times New Roman"/>
          <w:bCs/>
          <w:color w:val="000000"/>
          <w:sz w:val="28"/>
          <w:szCs w:val="28"/>
        </w:rPr>
        <w:br w:type="page"/>
      </w:r>
    </w:p>
    <w:p>
      <w:pPr>
        <w:rPr>
          <w:rFonts w:ascii="仿宋_GB2312" w:hAnsi="方正大标宋_GBK" w:eastAsia="仿宋_GB2312" w:cs="方正大标宋_GBK"/>
          <w:bCs/>
          <w:sz w:val="30"/>
          <w:szCs w:val="30"/>
        </w:rPr>
      </w:pPr>
      <w:r>
        <w:rPr>
          <w:rFonts w:hint="eastAsia" w:ascii="仿宋_GB2312" w:hAnsi="方正大标宋_GBK" w:eastAsia="仿宋_GB2312" w:cs="方正大标宋_GBK"/>
          <w:bCs/>
          <w:sz w:val="30"/>
          <w:szCs w:val="30"/>
        </w:rPr>
        <w:t>附件3</w:t>
      </w:r>
    </w:p>
    <w:p>
      <w:pPr>
        <w:spacing w:line="5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Calibri" w:eastAsia="方正大标宋简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发票信息表</w:t>
      </w:r>
    </w:p>
    <w:p>
      <w:pPr>
        <w:spacing w:line="5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</w:p>
    <w:p>
      <w:pPr>
        <w:spacing w:line="300" w:lineRule="exact"/>
        <w:jc w:val="center"/>
        <w:rPr>
          <w:rFonts w:ascii="Times New Roman" w:hAnsi="Times New Roman" w:eastAsia="方正大标宋简体" w:cs="Times New Roman"/>
          <w:sz w:val="28"/>
          <w:szCs w:val="28"/>
        </w:rPr>
      </w:pPr>
    </w:p>
    <w:p>
      <w:pPr>
        <w:spacing w:line="3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增值税普通发票</w:t>
      </w:r>
    </w:p>
    <w:tbl>
      <w:tblPr>
        <w:tblStyle w:val="2"/>
        <w:tblpPr w:leftFromText="180" w:rightFromText="180" w:vertAnchor="text" w:horzAnchor="page" w:tblpX="1847" w:tblpY="619"/>
        <w:tblOverlap w:val="never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81"/>
        <w:gridCol w:w="2402"/>
        <w:gridCol w:w="147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缴费金额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纳税人识别号</w:t>
            </w:r>
          </w:p>
        </w:tc>
        <w:tc>
          <w:tcPr>
            <w:tcW w:w="5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增值税专用发票</w:t>
      </w:r>
    </w:p>
    <w:p>
      <w:pPr>
        <w:spacing w:line="3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21"/>
        <w:gridCol w:w="2545"/>
        <w:gridCol w:w="148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缴费金额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纳税人识别号</w:t>
            </w:r>
          </w:p>
        </w:tc>
        <w:tc>
          <w:tcPr>
            <w:tcW w:w="5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5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5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5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5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（请在所需的发票类型的“□”内划“√”，并提供开票信息）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32343159"/>
    <w:rsid w:val="3234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2023-09-01T06:20:00Z</dcterms:created>
  <dc:creator>缑芮</dc:creator>
  <cp:lastModifiedBy>缑芮</cp:lastModifiedBy>
  <dcterms:modified xsi:type="dcterms:W3CDTF">2023-09-01T06:20:41Z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B51F577DF3C54BA2B79F4FE5EE03BFFB_11</vt:lpwstr>
  </property>
</Properties>
</file>